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b/>
        </w:rPr>
        <w:tag w:val="oznaceniDokumentu"/>
        <w:id w:val="-1578812355"/>
        <w:placeholder>
          <w:docPart w:val="460CDF2F6582450D8383B22AE52B03D8"/>
        </w:placeholder>
        <w:dropDownList>
          <w:listItem w:displayText=" " w:value=" "/>
          <w:listItem w:displayText="PRO VNITŘNÍ POTŘEBU" w:value="PRO VNITŘNÍ POTŘEBU"/>
          <w:listItem w:displayText="CITLIVÉ" w:value="CITLIVÉ"/>
          <w:listItem w:displayText="VELMI CITLIVÉ" w:value="VELMI CITLIVÉ"/>
        </w:dropDownList>
      </w:sdtPr>
      <w:sdtEndPr/>
      <w:sdtContent>
        <w:p w14:paraId="57222A61" w14:textId="77777777" w:rsidR="00874036" w:rsidRDefault="00874036" w:rsidP="00874036">
          <w:pPr>
            <w:pStyle w:val="Bezmezer"/>
            <w:jc w:val="right"/>
            <w:rPr>
              <w:b/>
            </w:rPr>
          </w:pPr>
          <w:r>
            <w:rPr>
              <w:b/>
            </w:rPr>
            <w:t xml:space="preserve"> </w:t>
          </w:r>
        </w:p>
      </w:sdtContent>
    </w:sdt>
    <w:p w14:paraId="1983A092" w14:textId="078D8E44" w:rsidR="006A4382" w:rsidRDefault="00874036" w:rsidP="006A4382">
      <w:pPr>
        <w:pStyle w:val="Zkladntext"/>
        <w:spacing w:before="360" w:after="600"/>
        <w:jc w:val="right"/>
        <w:rPr>
          <w:b/>
          <w:sz w:val="22"/>
          <w:szCs w:val="22"/>
        </w:rPr>
      </w:pPr>
      <w:r>
        <w:rPr>
          <w:bCs/>
          <w:sz w:val="22"/>
          <w:szCs w:val="22"/>
        </w:rPr>
        <w:t xml:space="preserve"> </w:t>
      </w:r>
    </w:p>
    <w:p w14:paraId="7EF6D182" w14:textId="041D306A" w:rsidR="00952E4D" w:rsidRPr="006A4382" w:rsidRDefault="006A4382" w:rsidP="006A4382">
      <w:pPr>
        <w:pStyle w:val="Zkladntext"/>
        <w:spacing w:before="360" w:after="600"/>
        <w:jc w:val="center"/>
        <w:rPr>
          <w:b/>
          <w:sz w:val="22"/>
          <w:szCs w:val="22"/>
        </w:rPr>
      </w:pPr>
      <w:r>
        <w:rPr>
          <w:b/>
          <w:sz w:val="22"/>
          <w:szCs w:val="22"/>
        </w:rPr>
        <w:t>T</w:t>
      </w:r>
      <w:r w:rsidR="00120C8A">
        <w:rPr>
          <w:b/>
          <w:sz w:val="22"/>
          <w:szCs w:val="22"/>
        </w:rPr>
        <w:t>abulka připomínek</w:t>
      </w:r>
      <w:r w:rsidR="002E4804" w:rsidRPr="00540F7C">
        <w:rPr>
          <w:b/>
          <w:caps/>
          <w:szCs w:val="22"/>
        </w:rPr>
        <w:t xml:space="preserve"> </w:t>
      </w:r>
      <w:r w:rsidR="00120C8A">
        <w:rPr>
          <w:b/>
          <w:caps/>
          <w:szCs w:val="22"/>
        </w:rPr>
        <w:t>RVVI</w:t>
      </w:r>
      <w:r w:rsidR="002E4804" w:rsidRPr="00540F7C">
        <w:rPr>
          <w:b/>
          <w:caps/>
          <w:szCs w:val="22"/>
        </w:rPr>
        <w:t>:</w:t>
      </w:r>
    </w:p>
    <w:p w14:paraId="213FDEBF" w14:textId="1B1DECAF" w:rsidR="009056DD" w:rsidRPr="00B77102" w:rsidRDefault="00374D92" w:rsidP="00111414">
      <w:pPr>
        <w:spacing w:before="240" w:after="240"/>
        <w:jc w:val="center"/>
        <w:rPr>
          <w:b/>
          <w:sz w:val="22"/>
          <w:szCs w:val="22"/>
        </w:rPr>
      </w:pPr>
      <w:r>
        <w:rPr>
          <w:b/>
          <w:bCs/>
          <w:szCs w:val="22"/>
        </w:rPr>
        <w:t>P</w:t>
      </w:r>
      <w:r w:rsidR="00333F79">
        <w:rPr>
          <w:b/>
          <w:bCs/>
          <w:szCs w:val="22"/>
        </w:rPr>
        <w:t>rogramov</w:t>
      </w:r>
      <w:r>
        <w:rPr>
          <w:b/>
          <w:bCs/>
          <w:szCs w:val="22"/>
        </w:rPr>
        <w:t>ý</w:t>
      </w:r>
      <w:r w:rsidR="00333F79">
        <w:rPr>
          <w:b/>
          <w:bCs/>
          <w:szCs w:val="22"/>
        </w:rPr>
        <w:t xml:space="preserve"> dokument</w:t>
      </w:r>
      <w:r>
        <w:rPr>
          <w:b/>
          <w:bCs/>
          <w:szCs w:val="22"/>
        </w:rPr>
        <w:t xml:space="preserve"> Operačního programu Technologie a aplikace pro konkurenceschopnost (2021-2027)</w:t>
      </w:r>
    </w:p>
    <w:p w14:paraId="2A50F7E4" w14:textId="75E9379B" w:rsidR="00B81330" w:rsidRPr="00B77102" w:rsidRDefault="00B81330" w:rsidP="009056DD">
      <w:pPr>
        <w:spacing w:before="240" w:after="240"/>
        <w:jc w:val="both"/>
        <w:rPr>
          <w:sz w:val="22"/>
          <w:szCs w:val="22"/>
        </w:rPr>
      </w:pPr>
    </w:p>
    <w:tbl>
      <w:tblPr>
        <w:tblW w:w="1431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3073"/>
        <w:gridCol w:w="4748"/>
        <w:gridCol w:w="5670"/>
      </w:tblGrid>
      <w:tr w:rsidR="00120C8A" w:rsidRPr="00B77102" w14:paraId="2C857654" w14:textId="77777777" w:rsidTr="00120C8A">
        <w:trPr>
          <w:trHeight w:val="340"/>
        </w:trPr>
        <w:tc>
          <w:tcPr>
            <w:tcW w:w="827" w:type="dxa"/>
          </w:tcPr>
          <w:p w14:paraId="1599F163" w14:textId="6F70285E" w:rsidR="00120C8A" w:rsidRDefault="00120C8A" w:rsidP="00120C8A">
            <w:pPr>
              <w:rPr>
                <w:rFonts w:asciiTheme="minorHAnsi" w:hAnsiTheme="minorHAnsi"/>
                <w:b/>
                <w:bCs/>
                <w:sz w:val="22"/>
                <w:szCs w:val="22"/>
              </w:rPr>
            </w:pPr>
            <w:r>
              <w:rPr>
                <w:rFonts w:asciiTheme="minorHAnsi" w:hAnsiTheme="minorHAnsi"/>
                <w:b/>
                <w:bCs/>
                <w:sz w:val="22"/>
                <w:szCs w:val="22"/>
              </w:rPr>
              <w:t>ID</w:t>
            </w:r>
          </w:p>
        </w:tc>
        <w:tc>
          <w:tcPr>
            <w:tcW w:w="3073" w:type="dxa"/>
            <w:shd w:val="clear" w:color="auto" w:fill="auto"/>
          </w:tcPr>
          <w:p w14:paraId="7F42A9A2" w14:textId="23DABEE1" w:rsidR="00120C8A" w:rsidRPr="005D4F83" w:rsidRDefault="00120C8A" w:rsidP="00120C8A">
            <w:pPr>
              <w:rPr>
                <w:rFonts w:asciiTheme="minorHAnsi" w:hAnsiTheme="minorHAnsi"/>
                <w:sz w:val="22"/>
                <w:szCs w:val="22"/>
              </w:rPr>
            </w:pPr>
            <w:r>
              <w:rPr>
                <w:rFonts w:asciiTheme="minorHAnsi" w:hAnsiTheme="minorHAnsi"/>
                <w:b/>
                <w:bCs/>
                <w:sz w:val="22"/>
                <w:szCs w:val="22"/>
              </w:rPr>
              <w:t>Zásadní/Doporučující/Formální</w:t>
            </w:r>
          </w:p>
        </w:tc>
        <w:tc>
          <w:tcPr>
            <w:tcW w:w="4748" w:type="dxa"/>
            <w:shd w:val="clear" w:color="auto" w:fill="auto"/>
          </w:tcPr>
          <w:p w14:paraId="3B72BAD1" w14:textId="3659417B" w:rsidR="00120C8A" w:rsidRPr="005D4F83" w:rsidRDefault="00120C8A" w:rsidP="00120C8A">
            <w:pPr>
              <w:rPr>
                <w:rFonts w:asciiTheme="minorHAnsi" w:hAnsiTheme="minorHAnsi"/>
                <w:sz w:val="22"/>
                <w:szCs w:val="22"/>
              </w:rPr>
            </w:pPr>
            <w:r>
              <w:rPr>
                <w:rFonts w:asciiTheme="minorHAnsi" w:hAnsiTheme="minorHAnsi"/>
                <w:b/>
                <w:bCs/>
                <w:sz w:val="22"/>
                <w:szCs w:val="22"/>
              </w:rPr>
              <w:t>Připomínky</w:t>
            </w:r>
          </w:p>
        </w:tc>
        <w:tc>
          <w:tcPr>
            <w:tcW w:w="5670" w:type="dxa"/>
            <w:shd w:val="clear" w:color="auto" w:fill="auto"/>
          </w:tcPr>
          <w:p w14:paraId="3B75AD48" w14:textId="1923F9EA" w:rsidR="00120C8A" w:rsidRPr="005D4F83" w:rsidRDefault="00120C8A" w:rsidP="00120C8A">
            <w:pPr>
              <w:jc w:val="both"/>
              <w:rPr>
                <w:rFonts w:asciiTheme="minorHAnsi" w:hAnsiTheme="minorHAnsi"/>
                <w:sz w:val="22"/>
                <w:szCs w:val="22"/>
              </w:rPr>
            </w:pPr>
            <w:r>
              <w:rPr>
                <w:rFonts w:asciiTheme="minorHAnsi" w:hAnsiTheme="minorHAnsi"/>
                <w:b/>
                <w:bCs/>
                <w:sz w:val="22"/>
                <w:szCs w:val="22"/>
              </w:rPr>
              <w:t>Vypořádání MPO</w:t>
            </w:r>
          </w:p>
        </w:tc>
      </w:tr>
      <w:tr w:rsidR="00120C8A" w:rsidRPr="00B77102" w14:paraId="3243FBF7" w14:textId="77777777" w:rsidTr="00120C8A">
        <w:trPr>
          <w:trHeight w:val="340"/>
        </w:trPr>
        <w:tc>
          <w:tcPr>
            <w:tcW w:w="827" w:type="dxa"/>
          </w:tcPr>
          <w:p w14:paraId="160D81BD" w14:textId="2E78D917" w:rsidR="00120C8A" w:rsidRPr="00120C8A" w:rsidRDefault="00120C8A" w:rsidP="00120C8A">
            <w:pPr>
              <w:pStyle w:val="Odstavecseseznamem"/>
              <w:numPr>
                <w:ilvl w:val="0"/>
                <w:numId w:val="23"/>
              </w:numPr>
              <w:jc w:val="center"/>
              <w:rPr>
                <w:rFonts w:asciiTheme="minorHAnsi" w:hAnsiTheme="minorHAnsi" w:cstheme="minorHAnsi"/>
                <w:b/>
                <w:bCs/>
                <w:sz w:val="22"/>
                <w:szCs w:val="22"/>
              </w:rPr>
            </w:pPr>
          </w:p>
        </w:tc>
        <w:tc>
          <w:tcPr>
            <w:tcW w:w="3073" w:type="dxa"/>
            <w:shd w:val="clear" w:color="auto" w:fill="auto"/>
          </w:tcPr>
          <w:p w14:paraId="1F36DA85" w14:textId="42180FE4" w:rsidR="00120C8A" w:rsidRPr="00120C8A" w:rsidRDefault="00120C8A" w:rsidP="00120C8A">
            <w:pPr>
              <w:rPr>
                <w:rFonts w:asciiTheme="minorHAnsi" w:hAnsiTheme="minorHAnsi" w:cstheme="minorHAnsi"/>
                <w:b/>
                <w:bCs/>
                <w:sz w:val="22"/>
                <w:szCs w:val="22"/>
              </w:rPr>
            </w:pPr>
            <w:r w:rsidRPr="00120C8A">
              <w:rPr>
                <w:rFonts w:asciiTheme="minorHAnsi" w:hAnsiTheme="minorHAnsi" w:cstheme="minorHAnsi"/>
                <w:b/>
                <w:bCs/>
                <w:sz w:val="22"/>
                <w:szCs w:val="22"/>
              </w:rPr>
              <w:t>Zásadní</w:t>
            </w:r>
          </w:p>
        </w:tc>
        <w:tc>
          <w:tcPr>
            <w:tcW w:w="4748" w:type="dxa"/>
            <w:shd w:val="clear" w:color="auto" w:fill="auto"/>
          </w:tcPr>
          <w:p w14:paraId="3D848368" w14:textId="77777777" w:rsidR="00120C8A" w:rsidRPr="00120C8A" w:rsidRDefault="00120C8A" w:rsidP="00120C8A">
            <w:pPr>
              <w:autoSpaceDE w:val="0"/>
              <w:autoSpaceDN w:val="0"/>
              <w:adjustRightInd w:val="0"/>
              <w:spacing w:after="120"/>
              <w:jc w:val="both"/>
              <w:rPr>
                <w:rFonts w:asciiTheme="minorHAnsi" w:hAnsiTheme="minorHAnsi" w:cstheme="minorHAnsi"/>
                <w:sz w:val="22"/>
                <w:szCs w:val="22"/>
              </w:rPr>
            </w:pPr>
            <w:r w:rsidRPr="00120C8A">
              <w:rPr>
                <w:rFonts w:asciiTheme="minorHAnsi" w:hAnsiTheme="minorHAnsi" w:cstheme="minorHAnsi"/>
                <w:b/>
                <w:sz w:val="22"/>
                <w:szCs w:val="22"/>
              </w:rPr>
              <w:t>K Příloze 1 „Řešení potenciálních překryvů OP TAK s ostatními operačními programy (2021-2027)</w:t>
            </w:r>
          </w:p>
          <w:p w14:paraId="3EA89834" w14:textId="700E0E74" w:rsidR="00120C8A" w:rsidRPr="00120C8A" w:rsidRDefault="00120C8A" w:rsidP="00120C8A">
            <w:pPr>
              <w:autoSpaceDE w:val="0"/>
              <w:autoSpaceDN w:val="0"/>
              <w:adjustRightInd w:val="0"/>
              <w:spacing w:after="120"/>
              <w:jc w:val="both"/>
              <w:rPr>
                <w:rFonts w:asciiTheme="minorHAnsi" w:hAnsiTheme="minorHAnsi" w:cstheme="minorHAnsi"/>
                <w:sz w:val="22"/>
                <w:szCs w:val="22"/>
              </w:rPr>
            </w:pPr>
            <w:r w:rsidRPr="00120C8A">
              <w:rPr>
                <w:rFonts w:asciiTheme="minorHAnsi" w:hAnsiTheme="minorHAnsi" w:cstheme="minorHAnsi"/>
                <w:sz w:val="22"/>
                <w:szCs w:val="22"/>
              </w:rPr>
              <w:t xml:space="preserve">Rada žádá do Přílohy 1 doplnit text popisující, jakým způsobem zabrání řídící orgán překryvům OP TAK a komponenty 5.2 NPO, zabezpečí uplatnění principu komplementarity obou programů požadovaného Evropskou komisí a maximálně využije synergií obou dotačních titulů. </w:t>
            </w:r>
          </w:p>
          <w:p w14:paraId="64E3E352" w14:textId="77777777" w:rsidR="00120C8A" w:rsidRPr="00120C8A" w:rsidRDefault="00120C8A" w:rsidP="00120C8A">
            <w:pPr>
              <w:autoSpaceDE w:val="0"/>
              <w:autoSpaceDN w:val="0"/>
              <w:adjustRightInd w:val="0"/>
              <w:spacing w:after="120"/>
              <w:jc w:val="both"/>
              <w:rPr>
                <w:rFonts w:asciiTheme="minorHAnsi" w:hAnsiTheme="minorHAnsi" w:cstheme="minorHAnsi"/>
                <w:sz w:val="22"/>
                <w:szCs w:val="22"/>
              </w:rPr>
            </w:pPr>
            <w:r w:rsidRPr="00120C8A">
              <w:rPr>
                <w:rFonts w:asciiTheme="minorHAnsi" w:hAnsiTheme="minorHAnsi" w:cstheme="minorHAnsi"/>
                <w:sz w:val="22"/>
                <w:szCs w:val="22"/>
              </w:rPr>
              <w:t>Zdůvodnění:</w:t>
            </w:r>
          </w:p>
          <w:p w14:paraId="1594B83A" w14:textId="77777777" w:rsidR="00120C8A" w:rsidRPr="00120C8A" w:rsidRDefault="00120C8A" w:rsidP="00120C8A">
            <w:pPr>
              <w:autoSpaceDE w:val="0"/>
              <w:autoSpaceDN w:val="0"/>
              <w:adjustRightInd w:val="0"/>
              <w:spacing w:after="120"/>
              <w:jc w:val="both"/>
              <w:rPr>
                <w:rFonts w:asciiTheme="minorHAnsi" w:hAnsiTheme="minorHAnsi" w:cstheme="minorHAnsi"/>
                <w:sz w:val="22"/>
                <w:szCs w:val="22"/>
              </w:rPr>
            </w:pPr>
            <w:r w:rsidRPr="00120C8A">
              <w:rPr>
                <w:rFonts w:asciiTheme="minorHAnsi" w:hAnsiTheme="minorHAnsi" w:cstheme="minorHAnsi"/>
                <w:sz w:val="22"/>
                <w:szCs w:val="22"/>
              </w:rPr>
              <w:t xml:space="preserve">V rámci Priority 1 „Posilování výkonnosti podniků v oblasti výzkumu, vývoje a inovací a jejich digitální transformace“, specifického cíle 1.1 OP TAK budou podporovány obdobné aktivity v oblasti aplikovaného výzkumu, jako tomu bude u komponenty 5.2 „Podpora výzkumu a vývoje v podnicích a zavádění inovací do podnikové praxe“ NPO. V této souvislosti roste riziko duplicitního financování a nedostatečné komplementarity obou </w:t>
            </w:r>
            <w:r w:rsidRPr="00120C8A">
              <w:rPr>
                <w:rFonts w:asciiTheme="minorHAnsi" w:hAnsiTheme="minorHAnsi" w:cstheme="minorHAnsi"/>
                <w:sz w:val="22"/>
                <w:szCs w:val="22"/>
              </w:rPr>
              <w:lastRenderedPageBreak/>
              <w:t xml:space="preserve">programů, před čímž varuje také donátor obou </w:t>
            </w:r>
            <w:proofErr w:type="gramStart"/>
            <w:r w:rsidRPr="00120C8A">
              <w:rPr>
                <w:rFonts w:asciiTheme="minorHAnsi" w:hAnsiTheme="minorHAnsi" w:cstheme="minorHAnsi"/>
                <w:sz w:val="22"/>
                <w:szCs w:val="22"/>
              </w:rPr>
              <w:t>zdrojů - Evropská</w:t>
            </w:r>
            <w:proofErr w:type="gramEnd"/>
            <w:r w:rsidRPr="00120C8A">
              <w:rPr>
                <w:rFonts w:asciiTheme="minorHAnsi" w:hAnsiTheme="minorHAnsi" w:cstheme="minorHAnsi"/>
                <w:sz w:val="22"/>
                <w:szCs w:val="22"/>
              </w:rPr>
              <w:t xml:space="preserve"> komise.</w:t>
            </w:r>
          </w:p>
          <w:p w14:paraId="1669F643" w14:textId="77777777" w:rsidR="00120C8A" w:rsidRPr="00120C8A" w:rsidRDefault="00120C8A" w:rsidP="00120C8A">
            <w:pPr>
              <w:rPr>
                <w:rFonts w:asciiTheme="minorHAnsi" w:hAnsiTheme="minorHAnsi" w:cstheme="minorHAnsi"/>
                <w:b/>
                <w:bCs/>
                <w:sz w:val="22"/>
                <w:szCs w:val="22"/>
              </w:rPr>
            </w:pPr>
          </w:p>
        </w:tc>
        <w:tc>
          <w:tcPr>
            <w:tcW w:w="5670" w:type="dxa"/>
            <w:shd w:val="clear" w:color="auto" w:fill="auto"/>
          </w:tcPr>
          <w:p w14:paraId="4054B4A5" w14:textId="77777777" w:rsidR="003759AB" w:rsidRDefault="003759AB" w:rsidP="00120C8A">
            <w:pPr>
              <w:jc w:val="both"/>
              <w:rPr>
                <w:rFonts w:asciiTheme="minorHAnsi" w:hAnsiTheme="minorHAnsi" w:cstheme="minorHAnsi"/>
                <w:b/>
                <w:bCs/>
                <w:sz w:val="22"/>
                <w:szCs w:val="22"/>
              </w:rPr>
            </w:pPr>
            <w:r>
              <w:rPr>
                <w:rFonts w:asciiTheme="minorHAnsi" w:hAnsiTheme="minorHAnsi" w:cstheme="minorHAnsi"/>
                <w:b/>
                <w:bCs/>
                <w:sz w:val="22"/>
                <w:szCs w:val="22"/>
              </w:rPr>
              <w:lastRenderedPageBreak/>
              <w:t xml:space="preserve">Akceptováno. </w:t>
            </w:r>
          </w:p>
          <w:p w14:paraId="7A1928ED" w14:textId="0E6D22F5" w:rsidR="003759AB" w:rsidRPr="003759AB" w:rsidRDefault="003759AB" w:rsidP="00120C8A">
            <w:pPr>
              <w:jc w:val="both"/>
              <w:rPr>
                <w:rFonts w:asciiTheme="minorHAnsi" w:hAnsiTheme="minorHAnsi" w:cstheme="minorHAnsi"/>
                <w:bCs/>
                <w:sz w:val="22"/>
                <w:szCs w:val="22"/>
              </w:rPr>
            </w:pPr>
            <w:r w:rsidRPr="003759AB">
              <w:rPr>
                <w:rFonts w:asciiTheme="minorHAnsi" w:hAnsiTheme="minorHAnsi" w:cstheme="minorHAnsi"/>
                <w:bCs/>
                <w:sz w:val="22"/>
                <w:szCs w:val="22"/>
              </w:rPr>
              <w:t xml:space="preserve">Se zapracováním </w:t>
            </w:r>
            <w:r w:rsidR="006E0958">
              <w:rPr>
                <w:rFonts w:asciiTheme="minorHAnsi" w:hAnsiTheme="minorHAnsi" w:cstheme="minorHAnsi"/>
                <w:bCs/>
                <w:sz w:val="22"/>
                <w:szCs w:val="22"/>
              </w:rPr>
              <w:t xml:space="preserve">řešení překryvů s </w:t>
            </w:r>
            <w:r w:rsidRPr="003759AB">
              <w:rPr>
                <w:rFonts w:asciiTheme="minorHAnsi" w:hAnsiTheme="minorHAnsi" w:cstheme="minorHAnsi"/>
                <w:bCs/>
                <w:sz w:val="22"/>
                <w:szCs w:val="22"/>
              </w:rPr>
              <w:t>NPO (RRF),</w:t>
            </w:r>
            <w:r w:rsidR="006E0958">
              <w:rPr>
                <w:rFonts w:asciiTheme="minorHAnsi" w:hAnsiTheme="minorHAnsi" w:cstheme="minorHAnsi"/>
                <w:bCs/>
                <w:sz w:val="22"/>
                <w:szCs w:val="22"/>
              </w:rPr>
              <w:t xml:space="preserve"> dále</w:t>
            </w:r>
            <w:r w:rsidRPr="003759AB">
              <w:rPr>
                <w:rFonts w:asciiTheme="minorHAnsi" w:hAnsiTheme="minorHAnsi" w:cstheme="minorHAnsi"/>
                <w:bCs/>
                <w:sz w:val="22"/>
                <w:szCs w:val="22"/>
              </w:rPr>
              <w:t xml:space="preserve"> Modernizační</w:t>
            </w:r>
            <w:r w:rsidR="006E0958">
              <w:rPr>
                <w:rFonts w:asciiTheme="minorHAnsi" w:hAnsiTheme="minorHAnsi" w:cstheme="minorHAnsi"/>
                <w:bCs/>
                <w:sz w:val="22"/>
                <w:szCs w:val="22"/>
              </w:rPr>
              <w:t>m</w:t>
            </w:r>
            <w:r w:rsidRPr="003759AB">
              <w:rPr>
                <w:rFonts w:asciiTheme="minorHAnsi" w:hAnsiTheme="minorHAnsi" w:cstheme="minorHAnsi"/>
                <w:bCs/>
                <w:sz w:val="22"/>
                <w:szCs w:val="22"/>
              </w:rPr>
              <w:t xml:space="preserve"> fond</w:t>
            </w:r>
            <w:r w:rsidR="006E0958">
              <w:rPr>
                <w:rFonts w:asciiTheme="minorHAnsi" w:hAnsiTheme="minorHAnsi" w:cstheme="minorHAnsi"/>
                <w:bCs/>
                <w:sz w:val="22"/>
                <w:szCs w:val="22"/>
              </w:rPr>
              <w:t>em</w:t>
            </w:r>
            <w:r w:rsidRPr="003759AB">
              <w:rPr>
                <w:rFonts w:asciiTheme="minorHAnsi" w:hAnsiTheme="minorHAnsi" w:cstheme="minorHAnsi"/>
                <w:bCs/>
                <w:sz w:val="22"/>
                <w:szCs w:val="22"/>
              </w:rPr>
              <w:t xml:space="preserve"> či OP ST do přílohy počítáme, což jsme potvrdili i EK na jednání k OP TAK dne 21. května 2021, jelikož </w:t>
            </w:r>
            <w:r w:rsidR="006E0958">
              <w:rPr>
                <w:rFonts w:asciiTheme="minorHAnsi" w:hAnsiTheme="minorHAnsi" w:cstheme="minorHAnsi"/>
                <w:bCs/>
                <w:sz w:val="22"/>
                <w:szCs w:val="22"/>
              </w:rPr>
              <w:t xml:space="preserve">ta </w:t>
            </w:r>
            <w:r w:rsidRPr="003759AB">
              <w:rPr>
                <w:rFonts w:asciiTheme="minorHAnsi" w:hAnsiTheme="minorHAnsi" w:cstheme="minorHAnsi"/>
                <w:bCs/>
                <w:sz w:val="22"/>
                <w:szCs w:val="22"/>
              </w:rPr>
              <w:t>rovněž požaduje z</w:t>
            </w:r>
            <w:r w:rsidR="006E0958">
              <w:rPr>
                <w:rFonts w:asciiTheme="minorHAnsi" w:hAnsiTheme="minorHAnsi" w:cstheme="minorHAnsi"/>
                <w:bCs/>
                <w:sz w:val="22"/>
                <w:szCs w:val="22"/>
              </w:rPr>
              <w:t>a</w:t>
            </w:r>
            <w:r w:rsidRPr="003759AB">
              <w:rPr>
                <w:rFonts w:asciiTheme="minorHAnsi" w:hAnsiTheme="minorHAnsi" w:cstheme="minorHAnsi"/>
                <w:bCs/>
                <w:sz w:val="22"/>
                <w:szCs w:val="22"/>
              </w:rPr>
              <w:t>pracování. Řídicí orgán OP TAK s tím dlouhodobě počítá, nicméně stále čeká na finální schválenou podobu intervencí NPO, aby mohl zapracovat.</w:t>
            </w:r>
            <w:r>
              <w:rPr>
                <w:rFonts w:asciiTheme="minorHAnsi" w:hAnsiTheme="minorHAnsi" w:cstheme="minorHAnsi"/>
                <w:bCs/>
                <w:sz w:val="22"/>
                <w:szCs w:val="22"/>
              </w:rPr>
              <w:t xml:space="preserve"> S EK bylo dohodnuto, že formálně bude předloženo v září 2021.</w:t>
            </w:r>
          </w:p>
        </w:tc>
      </w:tr>
      <w:tr w:rsidR="00120C8A" w:rsidRPr="00B77102" w14:paraId="15E5D46F" w14:textId="77777777" w:rsidTr="00120C8A">
        <w:trPr>
          <w:trHeight w:val="340"/>
        </w:trPr>
        <w:tc>
          <w:tcPr>
            <w:tcW w:w="827" w:type="dxa"/>
          </w:tcPr>
          <w:p w14:paraId="2845C20E" w14:textId="77777777" w:rsidR="00120C8A" w:rsidRPr="00120C8A" w:rsidRDefault="00120C8A" w:rsidP="00120C8A">
            <w:pPr>
              <w:pStyle w:val="Odstavecseseznamem"/>
              <w:numPr>
                <w:ilvl w:val="0"/>
                <w:numId w:val="23"/>
              </w:numPr>
              <w:jc w:val="center"/>
              <w:rPr>
                <w:rFonts w:asciiTheme="minorHAnsi" w:hAnsiTheme="minorHAnsi" w:cstheme="minorHAnsi"/>
                <w:b/>
                <w:bCs/>
                <w:sz w:val="22"/>
                <w:szCs w:val="22"/>
              </w:rPr>
            </w:pPr>
          </w:p>
        </w:tc>
        <w:tc>
          <w:tcPr>
            <w:tcW w:w="3073" w:type="dxa"/>
            <w:shd w:val="clear" w:color="auto" w:fill="auto"/>
          </w:tcPr>
          <w:p w14:paraId="17326D01" w14:textId="1F98B69E" w:rsidR="00120C8A" w:rsidRPr="00120C8A" w:rsidRDefault="00120C8A" w:rsidP="00120C8A">
            <w:pPr>
              <w:rPr>
                <w:rFonts w:asciiTheme="minorHAnsi" w:hAnsiTheme="minorHAnsi" w:cstheme="minorHAnsi"/>
                <w:b/>
                <w:bCs/>
                <w:sz w:val="22"/>
                <w:szCs w:val="22"/>
              </w:rPr>
            </w:pPr>
            <w:r w:rsidRPr="00120C8A">
              <w:rPr>
                <w:rFonts w:asciiTheme="minorHAnsi" w:hAnsiTheme="minorHAnsi" w:cstheme="minorHAnsi"/>
                <w:b/>
                <w:bCs/>
                <w:sz w:val="22"/>
                <w:szCs w:val="22"/>
              </w:rPr>
              <w:t>Zásadní</w:t>
            </w:r>
          </w:p>
        </w:tc>
        <w:tc>
          <w:tcPr>
            <w:tcW w:w="4748" w:type="dxa"/>
            <w:shd w:val="clear" w:color="auto" w:fill="auto"/>
          </w:tcPr>
          <w:p w14:paraId="6486DA84" w14:textId="77777777" w:rsidR="00120C8A" w:rsidRPr="00120C8A" w:rsidRDefault="00120C8A" w:rsidP="00120C8A">
            <w:pPr>
              <w:autoSpaceDE w:val="0"/>
              <w:autoSpaceDN w:val="0"/>
              <w:adjustRightInd w:val="0"/>
              <w:spacing w:after="120"/>
              <w:jc w:val="both"/>
              <w:rPr>
                <w:rFonts w:asciiTheme="minorHAnsi" w:hAnsiTheme="minorHAnsi" w:cstheme="minorHAnsi"/>
                <w:sz w:val="22"/>
                <w:szCs w:val="22"/>
              </w:rPr>
            </w:pPr>
            <w:r w:rsidRPr="00120C8A">
              <w:rPr>
                <w:rFonts w:asciiTheme="minorHAnsi" w:hAnsiTheme="minorHAnsi" w:cstheme="minorHAnsi"/>
                <w:b/>
                <w:sz w:val="22"/>
                <w:szCs w:val="22"/>
              </w:rPr>
              <w:t xml:space="preserve">K části 2. A. 1 Priorita 1, Specifický cíl 1.1 </w:t>
            </w:r>
          </w:p>
          <w:p w14:paraId="2479E3C1" w14:textId="77777777" w:rsidR="00120C8A" w:rsidRPr="00120C8A" w:rsidRDefault="00120C8A" w:rsidP="00120C8A">
            <w:pPr>
              <w:autoSpaceDE w:val="0"/>
              <w:autoSpaceDN w:val="0"/>
              <w:adjustRightInd w:val="0"/>
              <w:spacing w:after="120"/>
              <w:jc w:val="both"/>
              <w:rPr>
                <w:rFonts w:asciiTheme="minorHAnsi" w:hAnsiTheme="minorHAnsi" w:cstheme="minorHAnsi"/>
                <w:sz w:val="22"/>
                <w:szCs w:val="22"/>
              </w:rPr>
            </w:pPr>
            <w:r w:rsidRPr="00120C8A">
              <w:rPr>
                <w:rFonts w:asciiTheme="minorHAnsi" w:hAnsiTheme="minorHAnsi" w:cstheme="minorHAnsi"/>
                <w:sz w:val="22"/>
                <w:szCs w:val="22"/>
              </w:rPr>
              <w:t xml:space="preserve">Rada žádá návazně na 2. zásadní připomínku na vhodné místo do textu programového dokumentu u specifického cíle 1.1, případně do Přílohy 1 doplnit text popisující, jakým způsobem zabrání MPO překryvům OP TAK a aktivit v rámci programu </w:t>
            </w:r>
            <w:proofErr w:type="spellStart"/>
            <w:r w:rsidRPr="00120C8A">
              <w:rPr>
                <w:rFonts w:asciiTheme="minorHAnsi" w:hAnsiTheme="minorHAnsi" w:cstheme="minorHAnsi"/>
                <w:sz w:val="22"/>
                <w:szCs w:val="22"/>
              </w:rPr>
              <w:t>The</w:t>
            </w:r>
            <w:proofErr w:type="spellEnd"/>
            <w:r w:rsidRPr="00120C8A">
              <w:rPr>
                <w:rFonts w:asciiTheme="minorHAnsi" w:hAnsiTheme="minorHAnsi" w:cstheme="minorHAnsi"/>
                <w:sz w:val="22"/>
                <w:szCs w:val="22"/>
              </w:rPr>
              <w:t xml:space="preserve"> Country </w:t>
            </w:r>
            <w:proofErr w:type="spellStart"/>
            <w:r w:rsidRPr="00120C8A">
              <w:rPr>
                <w:rFonts w:asciiTheme="minorHAnsi" w:hAnsiTheme="minorHAnsi" w:cstheme="minorHAnsi"/>
                <w:sz w:val="22"/>
                <w:szCs w:val="22"/>
              </w:rPr>
              <w:t>for</w:t>
            </w:r>
            <w:proofErr w:type="spellEnd"/>
            <w:r w:rsidRPr="00120C8A">
              <w:rPr>
                <w:rFonts w:asciiTheme="minorHAnsi" w:hAnsiTheme="minorHAnsi" w:cstheme="minorHAnsi"/>
                <w:sz w:val="22"/>
                <w:szCs w:val="22"/>
              </w:rPr>
              <w:t xml:space="preserve"> </w:t>
            </w:r>
            <w:proofErr w:type="spellStart"/>
            <w:r w:rsidRPr="00120C8A">
              <w:rPr>
                <w:rFonts w:asciiTheme="minorHAnsi" w:hAnsiTheme="minorHAnsi" w:cstheme="minorHAnsi"/>
                <w:sz w:val="22"/>
                <w:szCs w:val="22"/>
              </w:rPr>
              <w:t>the</w:t>
            </w:r>
            <w:proofErr w:type="spellEnd"/>
            <w:r w:rsidRPr="00120C8A">
              <w:rPr>
                <w:rFonts w:asciiTheme="minorHAnsi" w:hAnsiTheme="minorHAnsi" w:cstheme="minorHAnsi"/>
                <w:sz w:val="22"/>
                <w:szCs w:val="22"/>
              </w:rPr>
              <w:t xml:space="preserve"> </w:t>
            </w:r>
            <w:proofErr w:type="spellStart"/>
            <w:r w:rsidRPr="00120C8A">
              <w:rPr>
                <w:rFonts w:asciiTheme="minorHAnsi" w:hAnsiTheme="minorHAnsi" w:cstheme="minorHAnsi"/>
                <w:sz w:val="22"/>
                <w:szCs w:val="22"/>
              </w:rPr>
              <w:t>Future</w:t>
            </w:r>
            <w:proofErr w:type="spellEnd"/>
            <w:r w:rsidRPr="00120C8A">
              <w:rPr>
                <w:rFonts w:asciiTheme="minorHAnsi" w:hAnsiTheme="minorHAnsi" w:cstheme="minorHAnsi"/>
                <w:sz w:val="22"/>
                <w:szCs w:val="22"/>
              </w:rPr>
              <w:t xml:space="preserve"> se zohledněním vazby na NPO, a obecně u podpor </w:t>
            </w:r>
            <w:proofErr w:type="spellStart"/>
            <w:r w:rsidRPr="00120C8A">
              <w:rPr>
                <w:rFonts w:asciiTheme="minorHAnsi" w:hAnsiTheme="minorHAnsi" w:cstheme="minorHAnsi"/>
                <w:sz w:val="22"/>
                <w:szCs w:val="22"/>
              </w:rPr>
              <w:t>VaVaI</w:t>
            </w:r>
            <w:proofErr w:type="spellEnd"/>
            <w:r w:rsidRPr="00120C8A">
              <w:rPr>
                <w:rFonts w:asciiTheme="minorHAnsi" w:hAnsiTheme="minorHAnsi" w:cstheme="minorHAnsi"/>
                <w:sz w:val="22"/>
                <w:szCs w:val="22"/>
              </w:rPr>
              <w:t xml:space="preserve"> probíhajících mimo OP TAK i z národních zdrojů. Rada dále žádá MPO o zvážení posílení alokace prostředků na aktivity financované z výzkumu v režimu zákona č. 130/2002 Sb., o podpoře výzkumu, experimentálního vývoje a inovací z veřejných prostředků a o změně některých souvisejících zákonů, ve znění pozdějších předpisů.</w:t>
            </w:r>
          </w:p>
          <w:p w14:paraId="732328DE" w14:textId="77777777" w:rsidR="00120C8A" w:rsidRPr="00120C8A" w:rsidRDefault="00120C8A" w:rsidP="00120C8A">
            <w:pPr>
              <w:autoSpaceDE w:val="0"/>
              <w:autoSpaceDN w:val="0"/>
              <w:adjustRightInd w:val="0"/>
              <w:spacing w:after="120"/>
              <w:jc w:val="both"/>
              <w:rPr>
                <w:rFonts w:asciiTheme="minorHAnsi" w:hAnsiTheme="minorHAnsi" w:cstheme="minorHAnsi"/>
                <w:sz w:val="22"/>
                <w:szCs w:val="22"/>
              </w:rPr>
            </w:pPr>
            <w:r w:rsidRPr="00120C8A">
              <w:rPr>
                <w:rFonts w:asciiTheme="minorHAnsi" w:hAnsiTheme="minorHAnsi" w:cstheme="minorHAnsi"/>
                <w:sz w:val="22"/>
                <w:szCs w:val="22"/>
              </w:rPr>
              <w:t>Zdůvodnění:</w:t>
            </w:r>
          </w:p>
          <w:p w14:paraId="048C71A5" w14:textId="4461C83D" w:rsidR="00120C8A" w:rsidRPr="00120C8A" w:rsidRDefault="00120C8A" w:rsidP="00120C8A">
            <w:pPr>
              <w:autoSpaceDE w:val="0"/>
              <w:autoSpaceDN w:val="0"/>
              <w:adjustRightInd w:val="0"/>
              <w:spacing w:after="120"/>
              <w:jc w:val="both"/>
              <w:rPr>
                <w:rFonts w:asciiTheme="minorHAnsi" w:hAnsiTheme="minorHAnsi" w:cstheme="minorHAnsi"/>
                <w:sz w:val="22"/>
                <w:szCs w:val="22"/>
              </w:rPr>
            </w:pPr>
            <w:r w:rsidRPr="00120C8A">
              <w:rPr>
                <w:rFonts w:asciiTheme="minorHAnsi" w:hAnsiTheme="minorHAnsi" w:cstheme="minorHAnsi"/>
                <w:sz w:val="22"/>
                <w:szCs w:val="22"/>
              </w:rPr>
              <w:t xml:space="preserve">Podpora </w:t>
            </w:r>
            <w:proofErr w:type="spellStart"/>
            <w:r w:rsidRPr="00120C8A">
              <w:rPr>
                <w:rFonts w:asciiTheme="minorHAnsi" w:hAnsiTheme="minorHAnsi" w:cstheme="minorHAnsi"/>
                <w:sz w:val="22"/>
                <w:szCs w:val="22"/>
              </w:rPr>
              <w:t>VaVaI</w:t>
            </w:r>
            <w:proofErr w:type="spellEnd"/>
            <w:r w:rsidRPr="00120C8A">
              <w:rPr>
                <w:rFonts w:asciiTheme="minorHAnsi" w:hAnsiTheme="minorHAnsi" w:cstheme="minorHAnsi"/>
                <w:sz w:val="22"/>
                <w:szCs w:val="22"/>
              </w:rPr>
              <w:t xml:space="preserve"> bude probíhat mimo OP TAK i z národních zdrojů. Je již jasné, ve kterých oblastech se budou tyto podpory doplňovat, případně dublovat? Příkladem je program </w:t>
            </w:r>
            <w:proofErr w:type="spellStart"/>
            <w:r w:rsidRPr="00120C8A">
              <w:rPr>
                <w:rFonts w:asciiTheme="minorHAnsi" w:hAnsiTheme="minorHAnsi" w:cstheme="minorHAnsi"/>
                <w:sz w:val="22"/>
                <w:szCs w:val="22"/>
              </w:rPr>
              <w:t>The</w:t>
            </w:r>
            <w:proofErr w:type="spellEnd"/>
            <w:r w:rsidRPr="00120C8A">
              <w:rPr>
                <w:rFonts w:asciiTheme="minorHAnsi" w:hAnsiTheme="minorHAnsi" w:cstheme="minorHAnsi"/>
                <w:sz w:val="22"/>
                <w:szCs w:val="22"/>
              </w:rPr>
              <w:t xml:space="preserve"> Country </w:t>
            </w:r>
            <w:proofErr w:type="spellStart"/>
            <w:r w:rsidRPr="00120C8A">
              <w:rPr>
                <w:rFonts w:asciiTheme="minorHAnsi" w:hAnsiTheme="minorHAnsi" w:cstheme="minorHAnsi"/>
                <w:sz w:val="22"/>
                <w:szCs w:val="22"/>
              </w:rPr>
              <w:t>for</w:t>
            </w:r>
            <w:proofErr w:type="spellEnd"/>
            <w:r w:rsidRPr="00120C8A">
              <w:rPr>
                <w:rFonts w:asciiTheme="minorHAnsi" w:hAnsiTheme="minorHAnsi" w:cstheme="minorHAnsi"/>
                <w:sz w:val="22"/>
                <w:szCs w:val="22"/>
              </w:rPr>
              <w:t xml:space="preserve"> </w:t>
            </w:r>
            <w:proofErr w:type="spellStart"/>
            <w:r w:rsidRPr="00120C8A">
              <w:rPr>
                <w:rFonts w:asciiTheme="minorHAnsi" w:hAnsiTheme="minorHAnsi" w:cstheme="minorHAnsi"/>
                <w:sz w:val="22"/>
                <w:szCs w:val="22"/>
              </w:rPr>
              <w:t>the</w:t>
            </w:r>
            <w:proofErr w:type="spellEnd"/>
            <w:r w:rsidRPr="00120C8A">
              <w:rPr>
                <w:rFonts w:asciiTheme="minorHAnsi" w:hAnsiTheme="minorHAnsi" w:cstheme="minorHAnsi"/>
                <w:sz w:val="22"/>
                <w:szCs w:val="22"/>
              </w:rPr>
              <w:t xml:space="preserve"> </w:t>
            </w:r>
            <w:proofErr w:type="spellStart"/>
            <w:r w:rsidRPr="00120C8A">
              <w:rPr>
                <w:rFonts w:asciiTheme="minorHAnsi" w:hAnsiTheme="minorHAnsi" w:cstheme="minorHAnsi"/>
                <w:sz w:val="22"/>
                <w:szCs w:val="22"/>
              </w:rPr>
              <w:t>Future</w:t>
            </w:r>
            <w:proofErr w:type="spellEnd"/>
            <w:r w:rsidRPr="00120C8A">
              <w:rPr>
                <w:rFonts w:asciiTheme="minorHAnsi" w:hAnsiTheme="minorHAnsi" w:cstheme="minorHAnsi"/>
                <w:sz w:val="22"/>
                <w:szCs w:val="22"/>
              </w:rPr>
              <w:t xml:space="preserve">, který není operačním programem, přesto jsou v něm navrženy k podpoře obdobné aktivity v oblasti aplikovaného výzkumu jako u Priority 1 „Posilování výkonnosti podniků v oblasti výzkumu, vývoje a inovací a jejich digitální transformace“, specifického cíle 1.1 „Rozvoj a posílení výzkumných a inovačních kapacit a zavádění pokročilých technologií“ OP TAK a u komponenty 5.2 „Podpora výzkumu a vývoje v podnicích a zavádění inovací do podnikové praxe“ </w:t>
            </w:r>
            <w:r w:rsidRPr="00120C8A">
              <w:rPr>
                <w:rFonts w:asciiTheme="minorHAnsi" w:hAnsiTheme="minorHAnsi" w:cstheme="minorHAnsi"/>
                <w:sz w:val="22"/>
                <w:szCs w:val="22"/>
              </w:rPr>
              <w:lastRenderedPageBreak/>
              <w:t>NPO. V této souvislosti rovněž roste riziko duplicitního financování a nedostatečné komplementarity programů. Příkladem je podprogram 3 „Inovace do praxe“ (</w:t>
            </w:r>
            <w:proofErr w:type="spellStart"/>
            <w:r w:rsidRPr="00120C8A">
              <w:rPr>
                <w:rFonts w:asciiTheme="minorHAnsi" w:hAnsiTheme="minorHAnsi" w:cstheme="minorHAnsi"/>
                <w:sz w:val="22"/>
                <w:szCs w:val="22"/>
              </w:rPr>
              <w:t>The</w:t>
            </w:r>
            <w:proofErr w:type="spellEnd"/>
            <w:r w:rsidRPr="00120C8A">
              <w:rPr>
                <w:rFonts w:asciiTheme="minorHAnsi" w:hAnsiTheme="minorHAnsi" w:cstheme="minorHAnsi"/>
                <w:sz w:val="22"/>
                <w:szCs w:val="22"/>
              </w:rPr>
              <w:t xml:space="preserve"> Country </w:t>
            </w:r>
            <w:proofErr w:type="spellStart"/>
            <w:r w:rsidRPr="00120C8A">
              <w:rPr>
                <w:rFonts w:asciiTheme="minorHAnsi" w:hAnsiTheme="minorHAnsi" w:cstheme="minorHAnsi"/>
                <w:sz w:val="22"/>
                <w:szCs w:val="22"/>
              </w:rPr>
              <w:t>for</w:t>
            </w:r>
            <w:proofErr w:type="spellEnd"/>
            <w:r w:rsidRPr="00120C8A">
              <w:rPr>
                <w:rFonts w:asciiTheme="minorHAnsi" w:hAnsiTheme="minorHAnsi" w:cstheme="minorHAnsi"/>
                <w:sz w:val="22"/>
                <w:szCs w:val="22"/>
              </w:rPr>
              <w:t xml:space="preserve"> </w:t>
            </w:r>
            <w:proofErr w:type="spellStart"/>
            <w:r w:rsidRPr="00120C8A">
              <w:rPr>
                <w:rFonts w:asciiTheme="minorHAnsi" w:hAnsiTheme="minorHAnsi" w:cstheme="minorHAnsi"/>
                <w:sz w:val="22"/>
                <w:szCs w:val="22"/>
              </w:rPr>
              <w:t>the</w:t>
            </w:r>
            <w:proofErr w:type="spellEnd"/>
            <w:r w:rsidRPr="00120C8A">
              <w:rPr>
                <w:rFonts w:asciiTheme="minorHAnsi" w:hAnsiTheme="minorHAnsi" w:cstheme="minorHAnsi"/>
                <w:sz w:val="22"/>
                <w:szCs w:val="22"/>
              </w:rPr>
              <w:t xml:space="preserve"> </w:t>
            </w:r>
            <w:proofErr w:type="spellStart"/>
            <w:r w:rsidRPr="00120C8A">
              <w:rPr>
                <w:rFonts w:asciiTheme="minorHAnsi" w:hAnsiTheme="minorHAnsi" w:cstheme="minorHAnsi"/>
                <w:sz w:val="22"/>
                <w:szCs w:val="22"/>
              </w:rPr>
              <w:t>Future</w:t>
            </w:r>
            <w:proofErr w:type="spellEnd"/>
            <w:r w:rsidRPr="00120C8A">
              <w:rPr>
                <w:rFonts w:asciiTheme="minorHAnsi" w:hAnsiTheme="minorHAnsi" w:cstheme="minorHAnsi"/>
                <w:sz w:val="22"/>
                <w:szCs w:val="22"/>
              </w:rPr>
              <w:t xml:space="preserve">) </w:t>
            </w:r>
            <w:proofErr w:type="spellStart"/>
            <w:r w:rsidRPr="00120C8A">
              <w:rPr>
                <w:rFonts w:asciiTheme="minorHAnsi" w:hAnsiTheme="minorHAnsi" w:cstheme="minorHAnsi"/>
                <w:sz w:val="22"/>
                <w:szCs w:val="22"/>
              </w:rPr>
              <w:t>vs</w:t>
            </w:r>
            <w:proofErr w:type="spellEnd"/>
            <w:r w:rsidRPr="00120C8A">
              <w:rPr>
                <w:rFonts w:asciiTheme="minorHAnsi" w:hAnsiTheme="minorHAnsi" w:cstheme="minorHAnsi"/>
                <w:sz w:val="22"/>
                <w:szCs w:val="22"/>
              </w:rPr>
              <w:t xml:space="preserve"> aktivita „Zavádění výsledků </w:t>
            </w:r>
            <w:proofErr w:type="spellStart"/>
            <w:r w:rsidRPr="00120C8A">
              <w:rPr>
                <w:rFonts w:asciiTheme="minorHAnsi" w:hAnsiTheme="minorHAnsi" w:cstheme="minorHAnsi"/>
                <w:sz w:val="22"/>
                <w:szCs w:val="22"/>
              </w:rPr>
              <w:t>VaV</w:t>
            </w:r>
            <w:proofErr w:type="spellEnd"/>
            <w:r w:rsidRPr="00120C8A">
              <w:rPr>
                <w:rFonts w:asciiTheme="minorHAnsi" w:hAnsiTheme="minorHAnsi" w:cstheme="minorHAnsi"/>
                <w:sz w:val="22"/>
                <w:szCs w:val="22"/>
              </w:rPr>
              <w:t xml:space="preserve"> ve formě inovací do podnikové praxe (OP TAK) </w:t>
            </w:r>
            <w:proofErr w:type="spellStart"/>
            <w:r w:rsidRPr="00120C8A">
              <w:rPr>
                <w:rFonts w:asciiTheme="minorHAnsi" w:hAnsiTheme="minorHAnsi" w:cstheme="minorHAnsi"/>
                <w:sz w:val="22"/>
                <w:szCs w:val="22"/>
              </w:rPr>
              <w:t>vs</w:t>
            </w:r>
            <w:proofErr w:type="spellEnd"/>
            <w:r w:rsidRPr="00120C8A">
              <w:rPr>
                <w:rFonts w:asciiTheme="minorHAnsi" w:hAnsiTheme="minorHAnsi" w:cstheme="minorHAnsi"/>
                <w:sz w:val="22"/>
                <w:szCs w:val="22"/>
              </w:rPr>
              <w:t xml:space="preserve"> komponenta 5.2 „Podpora </w:t>
            </w:r>
            <w:proofErr w:type="spellStart"/>
            <w:r w:rsidRPr="00120C8A">
              <w:rPr>
                <w:rFonts w:asciiTheme="minorHAnsi" w:hAnsiTheme="minorHAnsi" w:cstheme="minorHAnsi"/>
                <w:sz w:val="22"/>
                <w:szCs w:val="22"/>
              </w:rPr>
              <w:t>VaV</w:t>
            </w:r>
            <w:proofErr w:type="spellEnd"/>
            <w:r w:rsidRPr="00120C8A">
              <w:rPr>
                <w:rFonts w:asciiTheme="minorHAnsi" w:hAnsiTheme="minorHAnsi" w:cstheme="minorHAnsi"/>
                <w:sz w:val="22"/>
                <w:szCs w:val="22"/>
              </w:rPr>
              <w:t xml:space="preserve"> v podnicích a zavádění inovací do podnikové praxe“. </w:t>
            </w:r>
          </w:p>
        </w:tc>
        <w:tc>
          <w:tcPr>
            <w:tcW w:w="5670" w:type="dxa"/>
            <w:shd w:val="clear" w:color="auto" w:fill="auto"/>
          </w:tcPr>
          <w:p w14:paraId="498E88C1" w14:textId="61326F32" w:rsidR="000947C3" w:rsidRPr="000947C3" w:rsidRDefault="000A7AA9" w:rsidP="000947C3">
            <w:pPr>
              <w:jc w:val="both"/>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lastRenderedPageBreak/>
              <w:t>Akceptováno</w:t>
            </w:r>
            <w:r w:rsidR="007F1252">
              <w:rPr>
                <w:rFonts w:asciiTheme="minorHAnsi" w:hAnsiTheme="minorHAnsi" w:cstheme="minorHAnsi"/>
                <w:b/>
                <w:color w:val="000000" w:themeColor="text1"/>
                <w:sz w:val="22"/>
                <w:szCs w:val="22"/>
              </w:rPr>
              <w:t>.</w:t>
            </w:r>
          </w:p>
          <w:p w14:paraId="49376185" w14:textId="2A87BB3A" w:rsidR="000947C3" w:rsidRPr="000947C3" w:rsidRDefault="000947C3" w:rsidP="000947C3">
            <w:pPr>
              <w:jc w:val="both"/>
              <w:rPr>
                <w:rFonts w:asciiTheme="minorHAnsi" w:hAnsiTheme="minorHAnsi" w:cstheme="minorHAnsi"/>
                <w:color w:val="000000" w:themeColor="text1"/>
                <w:sz w:val="22"/>
                <w:szCs w:val="22"/>
              </w:rPr>
            </w:pPr>
            <w:r w:rsidRPr="000947C3">
              <w:rPr>
                <w:rFonts w:asciiTheme="minorHAnsi" w:hAnsiTheme="minorHAnsi" w:cstheme="minorHAnsi"/>
                <w:color w:val="000000" w:themeColor="text1"/>
                <w:sz w:val="22"/>
                <w:szCs w:val="22"/>
              </w:rPr>
              <w:t xml:space="preserve">Zaměření podpory </w:t>
            </w:r>
            <w:proofErr w:type="spellStart"/>
            <w:r w:rsidRPr="000947C3">
              <w:rPr>
                <w:rFonts w:asciiTheme="minorHAnsi" w:hAnsiTheme="minorHAnsi" w:cstheme="minorHAnsi"/>
                <w:color w:val="000000" w:themeColor="text1"/>
                <w:sz w:val="22"/>
                <w:szCs w:val="22"/>
              </w:rPr>
              <w:t>VaI</w:t>
            </w:r>
            <w:proofErr w:type="spellEnd"/>
            <w:r w:rsidRPr="000947C3">
              <w:rPr>
                <w:rFonts w:asciiTheme="minorHAnsi" w:hAnsiTheme="minorHAnsi" w:cstheme="minorHAnsi"/>
                <w:color w:val="000000" w:themeColor="text1"/>
                <w:sz w:val="22"/>
                <w:szCs w:val="22"/>
              </w:rPr>
              <w:t xml:space="preserve"> z</w:t>
            </w:r>
            <w:r w:rsidR="001E5177">
              <w:rPr>
                <w:rFonts w:asciiTheme="minorHAnsi" w:hAnsiTheme="minorHAnsi" w:cstheme="minorHAnsi"/>
                <w:color w:val="000000" w:themeColor="text1"/>
                <w:sz w:val="22"/>
                <w:szCs w:val="22"/>
              </w:rPr>
              <w:t> fondů</w:t>
            </w:r>
            <w:r w:rsidRPr="000947C3">
              <w:rPr>
                <w:rFonts w:asciiTheme="minorHAnsi" w:hAnsiTheme="minorHAnsi" w:cstheme="minorHAnsi"/>
                <w:color w:val="000000" w:themeColor="text1"/>
                <w:sz w:val="22"/>
                <w:szCs w:val="22"/>
              </w:rPr>
              <w:t xml:space="preserve"> </w:t>
            </w:r>
            <w:r w:rsidR="00512044">
              <w:rPr>
                <w:rFonts w:asciiTheme="minorHAnsi" w:hAnsiTheme="minorHAnsi" w:cstheme="minorHAnsi"/>
                <w:color w:val="000000" w:themeColor="text1"/>
                <w:sz w:val="22"/>
                <w:szCs w:val="22"/>
              </w:rPr>
              <w:t xml:space="preserve">EU </w:t>
            </w:r>
            <w:r w:rsidRPr="000947C3">
              <w:rPr>
                <w:rFonts w:asciiTheme="minorHAnsi" w:hAnsiTheme="minorHAnsi" w:cstheme="minorHAnsi"/>
                <w:color w:val="000000" w:themeColor="text1"/>
                <w:sz w:val="22"/>
                <w:szCs w:val="22"/>
              </w:rPr>
              <w:t xml:space="preserve">je dáno </w:t>
            </w:r>
            <w:r w:rsidR="007D0E07">
              <w:rPr>
                <w:rFonts w:asciiTheme="minorHAnsi" w:hAnsiTheme="minorHAnsi" w:cstheme="minorHAnsi"/>
                <w:color w:val="000000" w:themeColor="text1"/>
                <w:sz w:val="22"/>
                <w:szCs w:val="22"/>
              </w:rPr>
              <w:t>legislativou politiky soudržnosti EU</w:t>
            </w:r>
            <w:r w:rsidRPr="000947C3">
              <w:rPr>
                <w:rFonts w:asciiTheme="minorHAnsi" w:hAnsiTheme="minorHAnsi" w:cstheme="minorHAnsi"/>
                <w:color w:val="000000" w:themeColor="text1"/>
                <w:sz w:val="22"/>
                <w:szCs w:val="22"/>
              </w:rPr>
              <w:t xml:space="preserve"> (podpora MSP, soulad s RIS3, důraz na </w:t>
            </w:r>
            <w:r w:rsidR="00512044">
              <w:rPr>
                <w:rFonts w:asciiTheme="minorHAnsi" w:hAnsiTheme="minorHAnsi" w:cstheme="minorHAnsi"/>
                <w:color w:val="000000" w:themeColor="text1"/>
                <w:sz w:val="22"/>
                <w:szCs w:val="22"/>
              </w:rPr>
              <w:t>nízkouhlíkovou</w:t>
            </w:r>
            <w:r w:rsidRPr="000947C3">
              <w:rPr>
                <w:rFonts w:asciiTheme="minorHAnsi" w:hAnsiTheme="minorHAnsi" w:cstheme="minorHAnsi"/>
                <w:color w:val="000000" w:themeColor="text1"/>
                <w:sz w:val="22"/>
                <w:szCs w:val="22"/>
              </w:rPr>
              <w:t xml:space="preserve"> ekonomiku, méně rozvinuté regiony, digitální ekonomika) a pozicí EK při </w:t>
            </w:r>
            <w:proofErr w:type="gramStart"/>
            <w:r w:rsidRPr="000947C3">
              <w:rPr>
                <w:rFonts w:asciiTheme="minorHAnsi" w:hAnsiTheme="minorHAnsi" w:cstheme="minorHAnsi"/>
                <w:color w:val="000000" w:themeColor="text1"/>
                <w:sz w:val="22"/>
                <w:szCs w:val="22"/>
              </w:rPr>
              <w:t>vyjednávání  textu</w:t>
            </w:r>
            <w:proofErr w:type="gramEnd"/>
            <w:r w:rsidRPr="000947C3">
              <w:rPr>
                <w:rFonts w:asciiTheme="minorHAnsi" w:hAnsiTheme="minorHAnsi" w:cstheme="minorHAnsi"/>
                <w:color w:val="000000" w:themeColor="text1"/>
                <w:sz w:val="22"/>
                <w:szCs w:val="22"/>
              </w:rPr>
              <w:t xml:space="preserve"> OP TAK. Z připomínek a projednávání OP TAK s EK vyplývá, že s textem OP</w:t>
            </w:r>
            <w:r w:rsidR="00512044">
              <w:rPr>
                <w:rFonts w:asciiTheme="minorHAnsi" w:hAnsiTheme="minorHAnsi" w:cstheme="minorHAnsi"/>
                <w:color w:val="000000" w:themeColor="text1"/>
                <w:sz w:val="22"/>
                <w:szCs w:val="22"/>
              </w:rPr>
              <w:t xml:space="preserve"> </w:t>
            </w:r>
            <w:r w:rsidRPr="000947C3">
              <w:rPr>
                <w:rFonts w:asciiTheme="minorHAnsi" w:hAnsiTheme="minorHAnsi" w:cstheme="minorHAnsi"/>
                <w:color w:val="000000" w:themeColor="text1"/>
                <w:sz w:val="22"/>
                <w:szCs w:val="22"/>
              </w:rPr>
              <w:t xml:space="preserve">TAK v oblasti </w:t>
            </w:r>
            <w:proofErr w:type="spellStart"/>
            <w:r w:rsidRPr="000947C3">
              <w:rPr>
                <w:rFonts w:asciiTheme="minorHAnsi" w:hAnsiTheme="minorHAnsi" w:cstheme="minorHAnsi"/>
                <w:color w:val="000000" w:themeColor="text1"/>
                <w:sz w:val="22"/>
                <w:szCs w:val="22"/>
              </w:rPr>
              <w:t>VaI</w:t>
            </w:r>
            <w:proofErr w:type="spellEnd"/>
            <w:r w:rsidRPr="000947C3">
              <w:rPr>
                <w:rFonts w:asciiTheme="minorHAnsi" w:hAnsiTheme="minorHAnsi" w:cstheme="minorHAnsi"/>
                <w:color w:val="000000" w:themeColor="text1"/>
                <w:sz w:val="22"/>
                <w:szCs w:val="22"/>
              </w:rPr>
              <w:t xml:space="preserve"> souhlasí a není </w:t>
            </w:r>
            <w:proofErr w:type="gramStart"/>
            <w:r w:rsidRPr="000947C3">
              <w:rPr>
                <w:rFonts w:asciiTheme="minorHAnsi" w:hAnsiTheme="minorHAnsi" w:cstheme="minorHAnsi"/>
                <w:color w:val="000000" w:themeColor="text1"/>
                <w:sz w:val="22"/>
                <w:szCs w:val="22"/>
              </w:rPr>
              <w:t>rozumné</w:t>
            </w:r>
            <w:proofErr w:type="gramEnd"/>
            <w:r w:rsidRPr="000947C3">
              <w:rPr>
                <w:rFonts w:asciiTheme="minorHAnsi" w:hAnsiTheme="minorHAnsi" w:cstheme="minorHAnsi"/>
                <w:color w:val="000000" w:themeColor="text1"/>
                <w:sz w:val="22"/>
                <w:szCs w:val="22"/>
              </w:rPr>
              <w:t xml:space="preserve"> jakkoliv do textu OP zasahovat, chce-li ČR dosáhnout jeho schválení. </w:t>
            </w:r>
            <w:r w:rsidR="007D0E07">
              <w:rPr>
                <w:rFonts w:asciiTheme="minorHAnsi" w:hAnsiTheme="minorHAnsi" w:cstheme="minorHAnsi"/>
                <w:color w:val="000000" w:themeColor="text1"/>
                <w:sz w:val="22"/>
                <w:szCs w:val="22"/>
              </w:rPr>
              <w:t>Nehledě na to, že kapitola k SC 1.1 OP TAK je aktuálně již přesně na limitu maximálního počtu znaků dle šablony EK. Nicméně s ohledem na vypořádání připomínky 1 můžeme potvrdit, že bude rovněž zapracován</w:t>
            </w:r>
            <w:r w:rsidR="000A7AA9">
              <w:rPr>
                <w:rFonts w:asciiTheme="minorHAnsi" w:hAnsiTheme="minorHAnsi" w:cstheme="minorHAnsi"/>
                <w:color w:val="000000" w:themeColor="text1"/>
                <w:sz w:val="22"/>
                <w:szCs w:val="22"/>
              </w:rPr>
              <w:t xml:space="preserve">o do Příloha 1 </w:t>
            </w:r>
            <w:r w:rsidR="007D0E07">
              <w:rPr>
                <w:rFonts w:asciiTheme="minorHAnsi" w:hAnsiTheme="minorHAnsi" w:cstheme="minorHAnsi"/>
                <w:color w:val="000000" w:themeColor="text1"/>
                <w:sz w:val="22"/>
                <w:szCs w:val="22"/>
              </w:rPr>
              <w:t>společně s řešením překryvů s NPO, resp. dalšími nástroji/programy podpory mimo ostatní OP. Zároveň můžeme ujistit, že p</w:t>
            </w:r>
            <w:r w:rsidRPr="000947C3">
              <w:rPr>
                <w:rFonts w:asciiTheme="minorHAnsi" w:hAnsiTheme="minorHAnsi" w:cstheme="minorHAnsi"/>
                <w:color w:val="000000" w:themeColor="text1"/>
                <w:sz w:val="22"/>
                <w:szCs w:val="22"/>
              </w:rPr>
              <w:t>okud by docházelo k problémům ve vztahu k národním programům, lze určité zpřesnění obecně zaměřeného SC 1.1 a 1.2 provádět v rámci jednotlivých výzev.</w:t>
            </w:r>
            <w:r w:rsidR="00512044">
              <w:rPr>
                <w:rFonts w:asciiTheme="minorHAnsi" w:hAnsiTheme="minorHAnsi" w:cstheme="minorHAnsi"/>
                <w:color w:val="000000" w:themeColor="text1"/>
                <w:sz w:val="22"/>
                <w:szCs w:val="22"/>
              </w:rPr>
              <w:t xml:space="preserve"> </w:t>
            </w:r>
            <w:r w:rsidRPr="000947C3">
              <w:rPr>
                <w:rFonts w:asciiTheme="minorHAnsi" w:hAnsiTheme="minorHAnsi" w:cstheme="minorHAnsi"/>
                <w:color w:val="000000" w:themeColor="text1"/>
                <w:sz w:val="22"/>
                <w:szCs w:val="22"/>
              </w:rPr>
              <w:t xml:space="preserve">Obecně CFF podporuje inovace bez investic, CFF může podporovat i projekty v Praze, naproti tomu OP TAK bude podporovat inovace i investice. </w:t>
            </w:r>
          </w:p>
          <w:p w14:paraId="6CA50C0C" w14:textId="77777777" w:rsidR="000947C3" w:rsidRPr="000947C3" w:rsidRDefault="000947C3" w:rsidP="000947C3">
            <w:pPr>
              <w:jc w:val="both"/>
              <w:rPr>
                <w:rFonts w:asciiTheme="minorHAnsi" w:hAnsiTheme="minorHAnsi" w:cstheme="minorHAnsi"/>
                <w:color w:val="000000" w:themeColor="text1"/>
                <w:sz w:val="22"/>
                <w:szCs w:val="22"/>
              </w:rPr>
            </w:pPr>
          </w:p>
          <w:p w14:paraId="12CC154F" w14:textId="3BEA9A52" w:rsidR="000947C3" w:rsidRPr="000947C3" w:rsidRDefault="000947C3" w:rsidP="000947C3">
            <w:pPr>
              <w:jc w:val="both"/>
              <w:rPr>
                <w:rFonts w:asciiTheme="minorHAnsi" w:hAnsiTheme="minorHAnsi" w:cstheme="minorHAnsi"/>
                <w:color w:val="000000" w:themeColor="text1"/>
                <w:sz w:val="22"/>
                <w:szCs w:val="22"/>
              </w:rPr>
            </w:pPr>
            <w:r w:rsidRPr="000947C3">
              <w:rPr>
                <w:rFonts w:asciiTheme="minorHAnsi" w:hAnsiTheme="minorHAnsi" w:cstheme="minorHAnsi"/>
                <w:color w:val="000000" w:themeColor="text1"/>
                <w:sz w:val="22"/>
                <w:szCs w:val="22"/>
              </w:rPr>
              <w:t xml:space="preserve">Argument „rizika duplicitního financování“, považujeme za </w:t>
            </w:r>
            <w:r w:rsidR="007D0E07">
              <w:rPr>
                <w:rFonts w:asciiTheme="minorHAnsi" w:hAnsiTheme="minorHAnsi" w:cstheme="minorHAnsi"/>
                <w:color w:val="000000" w:themeColor="text1"/>
                <w:sz w:val="22"/>
                <w:szCs w:val="22"/>
              </w:rPr>
              <w:t>i</w:t>
            </w:r>
            <w:r w:rsidRPr="000947C3">
              <w:rPr>
                <w:rFonts w:asciiTheme="minorHAnsi" w:hAnsiTheme="minorHAnsi" w:cstheme="minorHAnsi"/>
                <w:color w:val="000000" w:themeColor="text1"/>
                <w:sz w:val="22"/>
                <w:szCs w:val="22"/>
              </w:rPr>
              <w:t>relevantní. Duplicitnímu financování je zabráněno na úrovni projektů, používat toto spojení na úrovni programů není správné.</w:t>
            </w:r>
          </w:p>
          <w:p w14:paraId="3A5A2F5F" w14:textId="77777777" w:rsidR="000947C3" w:rsidRPr="000947C3" w:rsidRDefault="000947C3" w:rsidP="000947C3">
            <w:pPr>
              <w:jc w:val="both"/>
              <w:rPr>
                <w:rFonts w:asciiTheme="minorHAnsi" w:hAnsiTheme="minorHAnsi" w:cstheme="minorHAnsi"/>
                <w:b/>
                <w:bCs/>
                <w:color w:val="000000" w:themeColor="text1"/>
                <w:sz w:val="22"/>
                <w:szCs w:val="22"/>
              </w:rPr>
            </w:pPr>
          </w:p>
          <w:p w14:paraId="1AF075D9" w14:textId="38DB93F9" w:rsidR="000947C3" w:rsidRPr="00512044" w:rsidRDefault="00512044" w:rsidP="00512044">
            <w:pPr>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Výši </w:t>
            </w:r>
            <w:r w:rsidR="000947C3" w:rsidRPr="000947C3">
              <w:rPr>
                <w:rFonts w:asciiTheme="minorHAnsi" w:hAnsiTheme="minorHAnsi" w:cstheme="minorHAnsi"/>
                <w:color w:val="000000" w:themeColor="text1"/>
                <w:sz w:val="22"/>
                <w:szCs w:val="22"/>
              </w:rPr>
              <w:t xml:space="preserve">alokace OP TAK ovlivňovala celá řada faktorů: celková výše národní obálky pro kohezní politiku, rozdělení prostředků na </w:t>
            </w:r>
            <w:proofErr w:type="spellStart"/>
            <w:r w:rsidR="000947C3" w:rsidRPr="000947C3">
              <w:rPr>
                <w:rFonts w:asciiTheme="minorHAnsi" w:hAnsiTheme="minorHAnsi" w:cstheme="minorHAnsi"/>
                <w:color w:val="000000" w:themeColor="text1"/>
                <w:sz w:val="22"/>
                <w:szCs w:val="22"/>
              </w:rPr>
              <w:t>VaI</w:t>
            </w:r>
            <w:proofErr w:type="spellEnd"/>
            <w:r w:rsidR="000947C3" w:rsidRPr="000947C3">
              <w:rPr>
                <w:rFonts w:asciiTheme="minorHAnsi" w:hAnsiTheme="minorHAnsi" w:cstheme="minorHAnsi"/>
                <w:color w:val="000000" w:themeColor="text1"/>
                <w:sz w:val="22"/>
                <w:szCs w:val="22"/>
              </w:rPr>
              <w:t xml:space="preserve"> z národní obálky mezi další říd</w:t>
            </w:r>
            <w:r w:rsidR="007D0E07">
              <w:rPr>
                <w:rFonts w:asciiTheme="minorHAnsi" w:hAnsiTheme="minorHAnsi" w:cstheme="minorHAnsi"/>
                <w:color w:val="000000" w:themeColor="text1"/>
                <w:sz w:val="22"/>
                <w:szCs w:val="22"/>
              </w:rPr>
              <w:t>i</w:t>
            </w:r>
            <w:r w:rsidR="000947C3" w:rsidRPr="000947C3">
              <w:rPr>
                <w:rFonts w:asciiTheme="minorHAnsi" w:hAnsiTheme="minorHAnsi" w:cstheme="minorHAnsi"/>
                <w:color w:val="000000" w:themeColor="text1"/>
                <w:sz w:val="22"/>
                <w:szCs w:val="22"/>
              </w:rPr>
              <w:t xml:space="preserve">cí orgány, a to především MŠMT, splnění podílu alokace na opatření proti změně klimatu a potřeby jiných oblastí podpory v rámci OP </w:t>
            </w:r>
            <w:r w:rsidR="000947C3" w:rsidRPr="000947C3">
              <w:rPr>
                <w:rFonts w:asciiTheme="minorHAnsi" w:hAnsiTheme="minorHAnsi" w:cstheme="minorHAnsi"/>
                <w:color w:val="000000" w:themeColor="text1"/>
                <w:sz w:val="22"/>
                <w:szCs w:val="22"/>
              </w:rPr>
              <w:lastRenderedPageBreak/>
              <w:t xml:space="preserve">TAK, než je čistě </w:t>
            </w:r>
            <w:proofErr w:type="spellStart"/>
            <w:r w:rsidR="000947C3" w:rsidRPr="000947C3">
              <w:rPr>
                <w:rFonts w:asciiTheme="minorHAnsi" w:hAnsiTheme="minorHAnsi" w:cstheme="minorHAnsi"/>
                <w:color w:val="000000" w:themeColor="text1"/>
                <w:sz w:val="22"/>
                <w:szCs w:val="22"/>
              </w:rPr>
              <w:t>VaI</w:t>
            </w:r>
            <w:proofErr w:type="spellEnd"/>
            <w:r w:rsidR="000947C3" w:rsidRPr="000947C3">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Navíc již aktuálně se v případě SC1.1 OP TAK jedná o alokačně nejsilnější SC.</w:t>
            </w:r>
          </w:p>
        </w:tc>
      </w:tr>
      <w:tr w:rsidR="00120C8A" w:rsidRPr="00B77102" w14:paraId="3A6B2346" w14:textId="77777777" w:rsidTr="00120C8A">
        <w:trPr>
          <w:trHeight w:val="340"/>
        </w:trPr>
        <w:tc>
          <w:tcPr>
            <w:tcW w:w="827" w:type="dxa"/>
          </w:tcPr>
          <w:p w14:paraId="2D136E8E" w14:textId="77777777" w:rsidR="00120C8A" w:rsidRPr="00120C8A" w:rsidRDefault="00120C8A" w:rsidP="00120C8A">
            <w:pPr>
              <w:pStyle w:val="Odstavecseseznamem"/>
              <w:numPr>
                <w:ilvl w:val="0"/>
                <w:numId w:val="23"/>
              </w:numPr>
              <w:jc w:val="center"/>
              <w:rPr>
                <w:rFonts w:asciiTheme="minorHAnsi" w:hAnsiTheme="minorHAnsi" w:cstheme="minorHAnsi"/>
                <w:b/>
                <w:bCs/>
                <w:sz w:val="22"/>
                <w:szCs w:val="22"/>
              </w:rPr>
            </w:pPr>
          </w:p>
        </w:tc>
        <w:tc>
          <w:tcPr>
            <w:tcW w:w="3073" w:type="dxa"/>
            <w:shd w:val="clear" w:color="auto" w:fill="auto"/>
          </w:tcPr>
          <w:p w14:paraId="5D851B52" w14:textId="09C9F39F" w:rsidR="00120C8A" w:rsidRPr="00120C8A" w:rsidRDefault="00120C8A" w:rsidP="00120C8A">
            <w:pPr>
              <w:rPr>
                <w:rFonts w:asciiTheme="minorHAnsi" w:hAnsiTheme="minorHAnsi" w:cstheme="minorHAnsi"/>
                <w:b/>
                <w:bCs/>
                <w:sz w:val="22"/>
                <w:szCs w:val="22"/>
              </w:rPr>
            </w:pPr>
            <w:r w:rsidRPr="00120C8A">
              <w:rPr>
                <w:rFonts w:asciiTheme="minorHAnsi" w:hAnsiTheme="minorHAnsi" w:cstheme="minorHAnsi"/>
                <w:b/>
                <w:bCs/>
                <w:sz w:val="22"/>
                <w:szCs w:val="22"/>
              </w:rPr>
              <w:t>Zásadní</w:t>
            </w:r>
          </w:p>
        </w:tc>
        <w:tc>
          <w:tcPr>
            <w:tcW w:w="4748" w:type="dxa"/>
            <w:shd w:val="clear" w:color="auto" w:fill="auto"/>
          </w:tcPr>
          <w:p w14:paraId="764BAC24" w14:textId="77777777" w:rsidR="00120C8A" w:rsidRPr="000947C3" w:rsidRDefault="00120C8A" w:rsidP="00120C8A">
            <w:pPr>
              <w:autoSpaceDE w:val="0"/>
              <w:autoSpaceDN w:val="0"/>
              <w:adjustRightInd w:val="0"/>
              <w:spacing w:after="120"/>
              <w:jc w:val="both"/>
              <w:rPr>
                <w:rFonts w:asciiTheme="minorHAnsi" w:hAnsiTheme="minorHAnsi" w:cstheme="minorHAnsi"/>
                <w:b/>
                <w:color w:val="000000" w:themeColor="text1"/>
                <w:sz w:val="22"/>
                <w:szCs w:val="22"/>
              </w:rPr>
            </w:pPr>
            <w:r w:rsidRPr="000947C3">
              <w:rPr>
                <w:rFonts w:asciiTheme="minorHAnsi" w:hAnsiTheme="minorHAnsi" w:cstheme="minorHAnsi"/>
                <w:b/>
                <w:color w:val="000000" w:themeColor="text1"/>
                <w:sz w:val="22"/>
                <w:szCs w:val="22"/>
              </w:rPr>
              <w:t>K části 2.A.1.1.1 Intervence fondů</w:t>
            </w:r>
          </w:p>
          <w:p w14:paraId="5017D511" w14:textId="77777777" w:rsidR="00120C8A" w:rsidRPr="000947C3" w:rsidRDefault="00120C8A" w:rsidP="00120C8A">
            <w:pPr>
              <w:autoSpaceDE w:val="0"/>
              <w:autoSpaceDN w:val="0"/>
              <w:adjustRightInd w:val="0"/>
              <w:spacing w:after="120"/>
              <w:jc w:val="both"/>
              <w:rPr>
                <w:rFonts w:asciiTheme="minorHAnsi" w:hAnsiTheme="minorHAnsi" w:cstheme="minorHAnsi"/>
                <w:color w:val="000000" w:themeColor="text1"/>
                <w:sz w:val="22"/>
                <w:szCs w:val="22"/>
              </w:rPr>
            </w:pPr>
            <w:r w:rsidRPr="000947C3">
              <w:rPr>
                <w:rFonts w:asciiTheme="minorHAnsi" w:hAnsiTheme="minorHAnsi" w:cstheme="minorHAnsi"/>
                <w:color w:val="000000" w:themeColor="text1"/>
                <w:sz w:val="22"/>
                <w:szCs w:val="22"/>
              </w:rPr>
              <w:t xml:space="preserve">Rada žádá v textu odstavce u aktivity „Realizace podnikového </w:t>
            </w:r>
            <w:proofErr w:type="spellStart"/>
            <w:r w:rsidRPr="000947C3">
              <w:rPr>
                <w:rFonts w:asciiTheme="minorHAnsi" w:hAnsiTheme="minorHAnsi" w:cstheme="minorHAnsi"/>
                <w:color w:val="000000" w:themeColor="text1"/>
                <w:sz w:val="22"/>
                <w:szCs w:val="22"/>
              </w:rPr>
              <w:t>VaI</w:t>
            </w:r>
            <w:proofErr w:type="spellEnd"/>
            <w:r w:rsidRPr="000947C3">
              <w:rPr>
                <w:rFonts w:asciiTheme="minorHAnsi" w:hAnsiTheme="minorHAnsi" w:cstheme="minorHAnsi"/>
                <w:color w:val="000000" w:themeColor="text1"/>
                <w:sz w:val="22"/>
                <w:szCs w:val="22"/>
              </w:rPr>
              <w:t xml:space="preserve">, zejména ve spolupráci s VO - podle priorit RIS3“ ve větě „Prioritou je rovněž posílení podnikového </w:t>
            </w:r>
            <w:proofErr w:type="spellStart"/>
            <w:r w:rsidRPr="000947C3">
              <w:rPr>
                <w:rFonts w:asciiTheme="minorHAnsi" w:hAnsiTheme="minorHAnsi" w:cstheme="minorHAnsi"/>
                <w:color w:val="000000" w:themeColor="text1"/>
                <w:sz w:val="22"/>
                <w:szCs w:val="22"/>
              </w:rPr>
              <w:t>VaV</w:t>
            </w:r>
            <w:proofErr w:type="spellEnd"/>
            <w:proofErr w:type="gramStart"/>
            <w:r w:rsidRPr="000947C3">
              <w:rPr>
                <w:rFonts w:asciiTheme="minorHAnsi" w:hAnsiTheme="minorHAnsi" w:cstheme="minorHAnsi"/>
                <w:color w:val="000000" w:themeColor="text1"/>
                <w:sz w:val="22"/>
                <w:szCs w:val="22"/>
              </w:rPr>
              <w:t>…(</w:t>
            </w:r>
            <w:proofErr w:type="gramEnd"/>
            <w:r w:rsidRPr="000947C3">
              <w:rPr>
                <w:rFonts w:asciiTheme="minorHAnsi" w:hAnsiTheme="minorHAnsi" w:cstheme="minorHAnsi"/>
                <w:color w:val="000000" w:themeColor="text1"/>
                <w:sz w:val="22"/>
                <w:szCs w:val="22"/>
              </w:rPr>
              <w:t>nanotechnologie, …, kosmické aktivity apod.).“ doplnit do výčtu v závorce za kosmické aktivity „</w:t>
            </w:r>
            <w:r w:rsidRPr="000947C3">
              <w:rPr>
                <w:rFonts w:asciiTheme="minorHAnsi" w:hAnsiTheme="minorHAnsi" w:cstheme="minorHAnsi"/>
                <w:i/>
                <w:color w:val="000000" w:themeColor="text1"/>
                <w:sz w:val="22"/>
                <w:szCs w:val="22"/>
                <w:u w:val="single"/>
              </w:rPr>
              <w:t>a kvantové technologie</w:t>
            </w:r>
            <w:r w:rsidRPr="000947C3">
              <w:rPr>
                <w:rFonts w:asciiTheme="minorHAnsi" w:hAnsiTheme="minorHAnsi" w:cstheme="minorHAnsi"/>
                <w:color w:val="000000" w:themeColor="text1"/>
                <w:sz w:val="22"/>
                <w:szCs w:val="22"/>
              </w:rPr>
              <w:t>“. Věta bude nově znít „Prioritou</w:t>
            </w:r>
            <w:proofErr w:type="gramStart"/>
            <w:r w:rsidRPr="000947C3">
              <w:rPr>
                <w:rFonts w:asciiTheme="minorHAnsi" w:hAnsiTheme="minorHAnsi" w:cstheme="minorHAnsi"/>
                <w:color w:val="000000" w:themeColor="text1"/>
                <w:sz w:val="22"/>
                <w:szCs w:val="22"/>
              </w:rPr>
              <w:t>…(</w:t>
            </w:r>
            <w:proofErr w:type="gramEnd"/>
            <w:r w:rsidRPr="000947C3">
              <w:rPr>
                <w:rFonts w:asciiTheme="minorHAnsi" w:hAnsiTheme="minorHAnsi" w:cstheme="minorHAnsi"/>
                <w:color w:val="000000" w:themeColor="text1"/>
                <w:sz w:val="22"/>
                <w:szCs w:val="22"/>
              </w:rPr>
              <w:t>nanotechnologie, …, kosmické aktivity a kvantové technologie apod.).“.</w:t>
            </w:r>
          </w:p>
          <w:p w14:paraId="3D55CDE9" w14:textId="77777777" w:rsidR="00120C8A" w:rsidRPr="000947C3" w:rsidRDefault="00120C8A" w:rsidP="00120C8A">
            <w:pPr>
              <w:autoSpaceDE w:val="0"/>
              <w:autoSpaceDN w:val="0"/>
              <w:adjustRightInd w:val="0"/>
              <w:spacing w:after="120"/>
              <w:jc w:val="both"/>
              <w:rPr>
                <w:rFonts w:asciiTheme="minorHAnsi" w:hAnsiTheme="minorHAnsi" w:cstheme="minorHAnsi"/>
                <w:color w:val="000000" w:themeColor="text1"/>
                <w:sz w:val="22"/>
                <w:szCs w:val="22"/>
              </w:rPr>
            </w:pPr>
            <w:r w:rsidRPr="000947C3">
              <w:rPr>
                <w:rFonts w:asciiTheme="minorHAnsi" w:hAnsiTheme="minorHAnsi" w:cstheme="minorHAnsi"/>
                <w:color w:val="000000" w:themeColor="text1"/>
                <w:sz w:val="22"/>
                <w:szCs w:val="22"/>
              </w:rPr>
              <w:t xml:space="preserve">Rada žádá obdobně v textu odstavce u aktivity „Budování a rozvoj infrastruktury pro </w:t>
            </w:r>
            <w:proofErr w:type="spellStart"/>
            <w:r w:rsidRPr="000947C3">
              <w:rPr>
                <w:rFonts w:asciiTheme="minorHAnsi" w:hAnsiTheme="minorHAnsi" w:cstheme="minorHAnsi"/>
                <w:color w:val="000000" w:themeColor="text1"/>
                <w:sz w:val="22"/>
                <w:szCs w:val="22"/>
              </w:rPr>
              <w:t>VaI</w:t>
            </w:r>
            <w:proofErr w:type="spellEnd"/>
            <w:r w:rsidRPr="000947C3">
              <w:rPr>
                <w:rFonts w:asciiTheme="minorHAnsi" w:hAnsiTheme="minorHAnsi" w:cstheme="minorHAnsi"/>
                <w:color w:val="000000" w:themeColor="text1"/>
                <w:sz w:val="22"/>
                <w:szCs w:val="22"/>
              </w:rPr>
              <w:t>, testování a ověřování technologií v podnikatelském sektoru“ ve větě „Záměrem je</w:t>
            </w:r>
            <w:proofErr w:type="gramStart"/>
            <w:r w:rsidRPr="000947C3">
              <w:rPr>
                <w:rFonts w:asciiTheme="minorHAnsi" w:hAnsiTheme="minorHAnsi" w:cstheme="minorHAnsi"/>
                <w:color w:val="000000" w:themeColor="text1"/>
                <w:sz w:val="22"/>
                <w:szCs w:val="22"/>
              </w:rPr>
              <w:t>…(</w:t>
            </w:r>
            <w:proofErr w:type="gramEnd"/>
            <w:r w:rsidRPr="000947C3">
              <w:rPr>
                <w:rFonts w:asciiTheme="minorHAnsi" w:hAnsiTheme="minorHAnsi" w:cstheme="minorHAnsi"/>
                <w:color w:val="000000" w:themeColor="text1"/>
                <w:sz w:val="22"/>
                <w:szCs w:val="22"/>
              </w:rPr>
              <w:t>např. ICT,…a nanotechnologie apod.).“ doplnit v závorce „</w:t>
            </w:r>
            <w:r w:rsidRPr="000947C3">
              <w:rPr>
                <w:rFonts w:asciiTheme="minorHAnsi" w:hAnsiTheme="minorHAnsi" w:cstheme="minorHAnsi"/>
                <w:i/>
                <w:color w:val="000000" w:themeColor="text1"/>
                <w:sz w:val="22"/>
                <w:szCs w:val="22"/>
                <w:u w:val="single"/>
              </w:rPr>
              <w:t>a kvantové technologie</w:t>
            </w:r>
            <w:r w:rsidRPr="000947C3">
              <w:rPr>
                <w:rFonts w:asciiTheme="minorHAnsi" w:hAnsiTheme="minorHAnsi" w:cstheme="minorHAnsi"/>
                <w:color w:val="000000" w:themeColor="text1"/>
                <w:sz w:val="22"/>
                <w:szCs w:val="22"/>
              </w:rPr>
              <w:t>“. Věta bude nově znít „Záměrem</w:t>
            </w:r>
            <w:proofErr w:type="gramStart"/>
            <w:r w:rsidRPr="000947C3">
              <w:rPr>
                <w:rFonts w:asciiTheme="minorHAnsi" w:hAnsiTheme="minorHAnsi" w:cstheme="minorHAnsi"/>
                <w:color w:val="000000" w:themeColor="text1"/>
                <w:sz w:val="22"/>
                <w:szCs w:val="22"/>
              </w:rPr>
              <w:t>…(</w:t>
            </w:r>
            <w:proofErr w:type="gramEnd"/>
            <w:r w:rsidRPr="000947C3">
              <w:rPr>
                <w:rFonts w:asciiTheme="minorHAnsi" w:hAnsiTheme="minorHAnsi" w:cstheme="minorHAnsi"/>
                <w:color w:val="000000" w:themeColor="text1"/>
                <w:sz w:val="22"/>
                <w:szCs w:val="22"/>
              </w:rPr>
              <w:t>např. ICT,… nanotechnologie a kvantové technologie apod.).“.</w:t>
            </w:r>
          </w:p>
          <w:p w14:paraId="1FC92A3B" w14:textId="77777777" w:rsidR="00120C8A" w:rsidRPr="000947C3" w:rsidRDefault="00120C8A" w:rsidP="00120C8A">
            <w:pPr>
              <w:autoSpaceDE w:val="0"/>
              <w:autoSpaceDN w:val="0"/>
              <w:adjustRightInd w:val="0"/>
              <w:spacing w:after="120"/>
              <w:jc w:val="both"/>
              <w:rPr>
                <w:rFonts w:asciiTheme="minorHAnsi" w:hAnsiTheme="minorHAnsi" w:cstheme="minorHAnsi"/>
                <w:color w:val="000000" w:themeColor="text1"/>
                <w:sz w:val="22"/>
                <w:szCs w:val="22"/>
              </w:rPr>
            </w:pPr>
            <w:r w:rsidRPr="000947C3">
              <w:rPr>
                <w:rFonts w:asciiTheme="minorHAnsi" w:hAnsiTheme="minorHAnsi" w:cstheme="minorHAnsi"/>
                <w:color w:val="000000" w:themeColor="text1"/>
                <w:sz w:val="22"/>
                <w:szCs w:val="22"/>
              </w:rPr>
              <w:t>Zdůvodnění:</w:t>
            </w:r>
          </w:p>
          <w:p w14:paraId="0365D0F6" w14:textId="77777777" w:rsidR="00120C8A" w:rsidRPr="000947C3" w:rsidRDefault="00120C8A" w:rsidP="00120C8A">
            <w:pPr>
              <w:autoSpaceDE w:val="0"/>
              <w:autoSpaceDN w:val="0"/>
              <w:adjustRightInd w:val="0"/>
              <w:spacing w:after="120"/>
              <w:jc w:val="both"/>
              <w:rPr>
                <w:rFonts w:asciiTheme="minorHAnsi" w:hAnsiTheme="minorHAnsi" w:cstheme="minorHAnsi"/>
                <w:color w:val="000000" w:themeColor="text1"/>
                <w:sz w:val="22"/>
                <w:szCs w:val="22"/>
              </w:rPr>
            </w:pPr>
            <w:r w:rsidRPr="000947C3">
              <w:rPr>
                <w:rFonts w:asciiTheme="minorHAnsi" w:hAnsiTheme="minorHAnsi" w:cstheme="minorHAnsi"/>
                <w:color w:val="000000" w:themeColor="text1"/>
                <w:sz w:val="22"/>
                <w:szCs w:val="22"/>
              </w:rPr>
              <w:t>Kvantové technologie jsou téma, na které EU otvírá největší projekty.</w:t>
            </w:r>
          </w:p>
          <w:p w14:paraId="5675FB8B" w14:textId="5ABBCAE9" w:rsidR="00120C8A" w:rsidRPr="000947C3" w:rsidRDefault="00120C8A" w:rsidP="00120C8A">
            <w:pPr>
              <w:autoSpaceDE w:val="0"/>
              <w:autoSpaceDN w:val="0"/>
              <w:adjustRightInd w:val="0"/>
              <w:spacing w:after="120"/>
              <w:jc w:val="both"/>
              <w:rPr>
                <w:rFonts w:asciiTheme="minorHAnsi" w:hAnsiTheme="minorHAnsi" w:cstheme="minorHAnsi"/>
                <w:color w:val="000000" w:themeColor="text1"/>
                <w:sz w:val="22"/>
                <w:szCs w:val="22"/>
              </w:rPr>
            </w:pPr>
            <w:r w:rsidRPr="000947C3">
              <w:rPr>
                <w:rFonts w:asciiTheme="minorHAnsi" w:hAnsiTheme="minorHAnsi" w:cstheme="minorHAnsi"/>
                <w:color w:val="000000" w:themeColor="text1"/>
                <w:sz w:val="22"/>
                <w:szCs w:val="22"/>
              </w:rPr>
              <w:t xml:space="preserve">Rada dále oceňuje, že se jedná o podporu projektů průmyslového výzkumu a experimentálního vývoje, jejichž hlavním cílem </w:t>
            </w:r>
            <w:r w:rsidRPr="000947C3">
              <w:rPr>
                <w:rFonts w:asciiTheme="minorHAnsi" w:hAnsiTheme="minorHAnsi" w:cstheme="minorHAnsi"/>
                <w:b/>
                <w:i/>
                <w:color w:val="000000" w:themeColor="text1"/>
                <w:sz w:val="22"/>
                <w:szCs w:val="22"/>
              </w:rPr>
              <w:t xml:space="preserve">je tvorba nových </w:t>
            </w:r>
            <w:r w:rsidRPr="000947C3">
              <w:rPr>
                <w:rFonts w:asciiTheme="minorHAnsi" w:hAnsiTheme="minorHAnsi" w:cstheme="minorHAnsi"/>
                <w:b/>
                <w:i/>
                <w:color w:val="000000" w:themeColor="text1"/>
                <w:sz w:val="22"/>
                <w:szCs w:val="22"/>
              </w:rPr>
              <w:lastRenderedPageBreak/>
              <w:t>znalostí</w:t>
            </w:r>
            <w:r w:rsidRPr="000947C3">
              <w:rPr>
                <w:rFonts w:asciiTheme="minorHAnsi" w:hAnsiTheme="minorHAnsi" w:cstheme="minorHAnsi"/>
                <w:color w:val="000000" w:themeColor="text1"/>
                <w:sz w:val="22"/>
                <w:szCs w:val="22"/>
              </w:rPr>
              <w:t xml:space="preserve">… Je velmi rozumné nejen vyrábět výsledky v podobě produktů, které musí jít rovnou na trh, ale i tvorba znalostí, které jsou potřeba pro vývoj. </w:t>
            </w:r>
          </w:p>
        </w:tc>
        <w:tc>
          <w:tcPr>
            <w:tcW w:w="5670" w:type="dxa"/>
            <w:shd w:val="clear" w:color="auto" w:fill="auto"/>
          </w:tcPr>
          <w:p w14:paraId="20F6C536" w14:textId="01DE50DA" w:rsidR="000947C3" w:rsidRPr="000947C3" w:rsidRDefault="001C77AD" w:rsidP="00120C8A">
            <w:pPr>
              <w:jc w:val="both"/>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lastRenderedPageBreak/>
              <w:t>Neakceptováno</w:t>
            </w:r>
            <w:r w:rsidR="000947C3" w:rsidRPr="000947C3">
              <w:rPr>
                <w:rFonts w:asciiTheme="minorHAnsi" w:hAnsiTheme="minorHAnsi" w:cstheme="minorHAnsi"/>
                <w:b/>
                <w:bCs/>
                <w:color w:val="000000" w:themeColor="text1"/>
                <w:sz w:val="22"/>
                <w:szCs w:val="22"/>
              </w:rPr>
              <w:t>.</w:t>
            </w:r>
          </w:p>
          <w:p w14:paraId="35F87DBD" w14:textId="27B2C2B6" w:rsidR="000947C3" w:rsidRPr="000947C3" w:rsidRDefault="000947C3" w:rsidP="000947C3">
            <w:pPr>
              <w:jc w:val="both"/>
              <w:rPr>
                <w:rFonts w:asciiTheme="minorHAnsi" w:hAnsiTheme="minorHAnsi" w:cstheme="minorHAnsi"/>
                <w:color w:val="000000" w:themeColor="text1"/>
                <w:sz w:val="22"/>
                <w:szCs w:val="22"/>
              </w:rPr>
            </w:pPr>
            <w:r w:rsidRPr="000947C3">
              <w:rPr>
                <w:rFonts w:asciiTheme="minorHAnsi" w:hAnsiTheme="minorHAnsi" w:cstheme="minorHAnsi"/>
                <w:color w:val="000000" w:themeColor="text1"/>
                <w:sz w:val="22"/>
                <w:szCs w:val="22"/>
              </w:rPr>
              <w:t xml:space="preserve">Omlouváme se, ale po zkušenostech s rozšiřováním dílčích, byť důležitých technologií či výzkumných směrů, již další do textu OP TAK nedáváme – zásadní je v oblasti </w:t>
            </w:r>
            <w:proofErr w:type="spellStart"/>
            <w:r w:rsidRPr="000947C3">
              <w:rPr>
                <w:rFonts w:asciiTheme="minorHAnsi" w:hAnsiTheme="minorHAnsi" w:cstheme="minorHAnsi"/>
                <w:color w:val="000000" w:themeColor="text1"/>
                <w:sz w:val="22"/>
                <w:szCs w:val="22"/>
              </w:rPr>
              <w:t>VaI</w:t>
            </w:r>
            <w:proofErr w:type="spellEnd"/>
            <w:r w:rsidRPr="000947C3">
              <w:rPr>
                <w:rFonts w:asciiTheme="minorHAnsi" w:hAnsiTheme="minorHAnsi" w:cstheme="minorHAnsi"/>
                <w:color w:val="000000" w:themeColor="text1"/>
                <w:sz w:val="22"/>
                <w:szCs w:val="22"/>
              </w:rPr>
              <w:t xml:space="preserve"> návaznost na RIS3, a pokud tyto jsou v souladu s RIS3, pak není problém takové projekty z OP TAK podporovat</w:t>
            </w:r>
            <w:r w:rsidR="00512044">
              <w:rPr>
                <w:rFonts w:asciiTheme="minorHAnsi" w:hAnsiTheme="minorHAnsi" w:cstheme="minorHAnsi"/>
                <w:color w:val="000000" w:themeColor="text1"/>
                <w:sz w:val="22"/>
                <w:szCs w:val="22"/>
              </w:rPr>
              <w:t>. Soulad intervencí OP TAK s RIS3</w:t>
            </w:r>
            <w:r w:rsidR="001C77AD">
              <w:rPr>
                <w:rFonts w:asciiTheme="minorHAnsi" w:hAnsiTheme="minorHAnsi" w:cstheme="minorHAnsi"/>
                <w:color w:val="000000" w:themeColor="text1"/>
                <w:sz w:val="22"/>
                <w:szCs w:val="22"/>
              </w:rPr>
              <w:t xml:space="preserve"> je na řadě míst v programovém dokumentu OP TAK zdůrazněn</w:t>
            </w:r>
            <w:r w:rsidR="00512044">
              <w:rPr>
                <w:rFonts w:asciiTheme="minorHAnsi" w:hAnsiTheme="minorHAnsi" w:cstheme="minorHAnsi"/>
                <w:color w:val="000000" w:themeColor="text1"/>
                <w:sz w:val="22"/>
                <w:szCs w:val="22"/>
              </w:rPr>
              <w:t>, přičemž</w:t>
            </w:r>
            <w:r w:rsidR="001C77AD">
              <w:rPr>
                <w:rFonts w:asciiTheme="minorHAnsi" w:hAnsiTheme="minorHAnsi" w:cstheme="minorHAnsi"/>
                <w:color w:val="000000" w:themeColor="text1"/>
                <w:sz w:val="22"/>
                <w:szCs w:val="22"/>
              </w:rPr>
              <w:t xml:space="preserve"> navíc vyplývá z čl. 73 </w:t>
            </w:r>
            <w:r w:rsidR="001C77AD" w:rsidRPr="00845889">
              <w:rPr>
                <w:rFonts w:asciiTheme="minorHAnsi" w:hAnsiTheme="minorHAnsi" w:cstheme="minorHAnsi"/>
                <w:bCs/>
                <w:i/>
                <w:sz w:val="22"/>
                <w:szCs w:val="22"/>
              </w:rPr>
              <w:t>Nařízení EP a Rady (EU) o společných ustanoveních o Evropském fondu pro regionální rozvoj, Evropském sociálním fondu plus, Fondu soudržnosti, Fondu pro spravedlivou transformaci a Evropském námořním rybářském a akvakulturním fondu a o finančních pravidlech pro tyto fondy a pro Azylový, migrační a integrační fond, Fond pro vnitřní bezpečnost a Nástroj pro finanční podporu správy hranic a vízové politiky</w:t>
            </w:r>
            <w:r w:rsidR="00512044" w:rsidRPr="00512044">
              <w:rPr>
                <w:rFonts w:asciiTheme="minorHAnsi" w:hAnsiTheme="minorHAnsi" w:cstheme="minorHAnsi"/>
                <w:bCs/>
                <w:sz w:val="22"/>
                <w:szCs w:val="22"/>
              </w:rPr>
              <w:t xml:space="preserve"> (dále jen „obecné nařízení)</w:t>
            </w:r>
            <w:r w:rsidR="001C77AD">
              <w:rPr>
                <w:rFonts w:asciiTheme="minorHAnsi" w:hAnsiTheme="minorHAnsi" w:cstheme="minorHAnsi"/>
                <w:bCs/>
                <w:sz w:val="22"/>
                <w:szCs w:val="22"/>
              </w:rPr>
              <w:t>.</w:t>
            </w:r>
          </w:p>
          <w:p w14:paraId="18FC7C53" w14:textId="77777777" w:rsidR="000947C3" w:rsidRPr="000947C3" w:rsidRDefault="000947C3" w:rsidP="000947C3">
            <w:pPr>
              <w:jc w:val="both"/>
              <w:rPr>
                <w:rFonts w:asciiTheme="minorHAnsi" w:hAnsiTheme="minorHAnsi" w:cstheme="minorHAnsi"/>
                <w:color w:val="000000" w:themeColor="text1"/>
                <w:sz w:val="22"/>
                <w:szCs w:val="22"/>
              </w:rPr>
            </w:pPr>
          </w:p>
          <w:p w14:paraId="0C3EE2F9" w14:textId="776A357D" w:rsidR="000947C3" w:rsidRPr="000947C3" w:rsidRDefault="000947C3" w:rsidP="000947C3">
            <w:pPr>
              <w:jc w:val="both"/>
              <w:rPr>
                <w:rFonts w:asciiTheme="minorHAnsi" w:hAnsiTheme="minorHAnsi" w:cstheme="minorHAnsi"/>
                <w:color w:val="000000" w:themeColor="text1"/>
                <w:sz w:val="22"/>
                <w:szCs w:val="22"/>
              </w:rPr>
            </w:pPr>
            <w:r w:rsidRPr="000947C3">
              <w:rPr>
                <w:rFonts w:asciiTheme="minorHAnsi" w:hAnsiTheme="minorHAnsi" w:cstheme="minorHAnsi"/>
                <w:color w:val="000000" w:themeColor="text1"/>
                <w:sz w:val="22"/>
                <w:szCs w:val="22"/>
              </w:rPr>
              <w:t>OP TAK neobsahuje taxativní výčet pokročilých technologií ani preferovaných směrů, uvádíme je zde pouze jako příklady.</w:t>
            </w:r>
            <w:r w:rsidR="00512044">
              <w:rPr>
                <w:rFonts w:asciiTheme="minorHAnsi" w:hAnsiTheme="minorHAnsi" w:cstheme="minorHAnsi"/>
                <w:color w:val="000000" w:themeColor="text1"/>
                <w:sz w:val="22"/>
                <w:szCs w:val="22"/>
              </w:rPr>
              <w:t xml:space="preserve"> </w:t>
            </w:r>
            <w:r w:rsidRPr="000947C3">
              <w:rPr>
                <w:rFonts w:asciiTheme="minorHAnsi" w:hAnsiTheme="minorHAnsi" w:cstheme="minorHAnsi"/>
                <w:color w:val="000000" w:themeColor="text1"/>
                <w:sz w:val="22"/>
                <w:szCs w:val="22"/>
              </w:rPr>
              <w:t>OP TAK</w:t>
            </w:r>
            <w:r w:rsidR="00512044">
              <w:rPr>
                <w:rFonts w:asciiTheme="minorHAnsi" w:hAnsiTheme="minorHAnsi" w:cstheme="minorHAnsi"/>
                <w:color w:val="000000" w:themeColor="text1"/>
                <w:sz w:val="22"/>
                <w:szCs w:val="22"/>
              </w:rPr>
              <w:t xml:space="preserve"> obecně</w:t>
            </w:r>
            <w:r w:rsidRPr="000947C3">
              <w:rPr>
                <w:rFonts w:asciiTheme="minorHAnsi" w:hAnsiTheme="minorHAnsi" w:cstheme="minorHAnsi"/>
                <w:color w:val="000000" w:themeColor="text1"/>
                <w:sz w:val="22"/>
                <w:szCs w:val="22"/>
              </w:rPr>
              <w:t xml:space="preserve"> směruje na výzkum v oblasti perspektivních technologií (viz </w:t>
            </w:r>
            <w:proofErr w:type="spellStart"/>
            <w:r w:rsidRPr="000947C3">
              <w:rPr>
                <w:rFonts w:asciiTheme="minorHAnsi" w:hAnsiTheme="minorHAnsi" w:cstheme="minorHAnsi"/>
                <w:color w:val="000000" w:themeColor="text1"/>
                <w:sz w:val="22"/>
                <w:szCs w:val="22"/>
              </w:rPr>
              <w:t>KETs</w:t>
            </w:r>
            <w:proofErr w:type="spellEnd"/>
            <w:r w:rsidRPr="000947C3">
              <w:rPr>
                <w:rFonts w:asciiTheme="minorHAnsi" w:hAnsiTheme="minorHAnsi" w:cstheme="minorHAnsi"/>
                <w:color w:val="000000" w:themeColor="text1"/>
                <w:sz w:val="22"/>
                <w:szCs w:val="22"/>
              </w:rPr>
              <w:t xml:space="preserve"> nebo definice </w:t>
            </w:r>
            <w:proofErr w:type="spellStart"/>
            <w:r w:rsidRPr="000947C3">
              <w:rPr>
                <w:rFonts w:asciiTheme="minorHAnsi" w:hAnsiTheme="minorHAnsi" w:cstheme="minorHAnsi"/>
                <w:color w:val="000000" w:themeColor="text1"/>
                <w:sz w:val="22"/>
                <w:szCs w:val="22"/>
              </w:rPr>
              <w:t>advanced</w:t>
            </w:r>
            <w:proofErr w:type="spellEnd"/>
            <w:r w:rsidRPr="000947C3">
              <w:rPr>
                <w:rFonts w:asciiTheme="minorHAnsi" w:hAnsiTheme="minorHAnsi" w:cstheme="minorHAnsi"/>
                <w:color w:val="000000" w:themeColor="text1"/>
                <w:sz w:val="22"/>
                <w:szCs w:val="22"/>
              </w:rPr>
              <w:t xml:space="preserve"> </w:t>
            </w:r>
            <w:proofErr w:type="spellStart"/>
            <w:r w:rsidRPr="000947C3">
              <w:rPr>
                <w:rFonts w:asciiTheme="minorHAnsi" w:hAnsiTheme="minorHAnsi" w:cstheme="minorHAnsi"/>
                <w:color w:val="000000" w:themeColor="text1"/>
                <w:sz w:val="22"/>
                <w:szCs w:val="22"/>
              </w:rPr>
              <w:t>technologies</w:t>
            </w:r>
            <w:proofErr w:type="spellEnd"/>
            <w:r w:rsidRPr="000947C3">
              <w:rPr>
                <w:rFonts w:asciiTheme="minorHAnsi" w:hAnsiTheme="minorHAnsi" w:cstheme="minorHAnsi"/>
                <w:color w:val="000000" w:themeColor="text1"/>
                <w:sz w:val="22"/>
                <w:szCs w:val="22"/>
              </w:rPr>
              <w:t xml:space="preserve"> dle EK), </w:t>
            </w:r>
            <w:r w:rsidR="00512044">
              <w:rPr>
                <w:rFonts w:asciiTheme="minorHAnsi" w:hAnsiTheme="minorHAnsi" w:cstheme="minorHAnsi"/>
                <w:color w:val="000000" w:themeColor="text1"/>
                <w:sz w:val="22"/>
                <w:szCs w:val="22"/>
              </w:rPr>
              <w:t xml:space="preserve">a to </w:t>
            </w:r>
            <w:r w:rsidRPr="000947C3">
              <w:rPr>
                <w:rFonts w:asciiTheme="minorHAnsi" w:hAnsiTheme="minorHAnsi" w:cstheme="minorHAnsi"/>
                <w:color w:val="000000" w:themeColor="text1"/>
                <w:sz w:val="22"/>
                <w:szCs w:val="22"/>
              </w:rPr>
              <w:t>vždy v souladu s RIS3.</w:t>
            </w:r>
          </w:p>
          <w:p w14:paraId="073FECC6" w14:textId="16178FDD" w:rsidR="000947C3" w:rsidRPr="000947C3" w:rsidRDefault="000947C3" w:rsidP="00120C8A">
            <w:pPr>
              <w:jc w:val="both"/>
              <w:rPr>
                <w:rFonts w:asciiTheme="minorHAnsi" w:hAnsiTheme="minorHAnsi" w:cstheme="minorHAnsi"/>
                <w:b/>
                <w:bCs/>
                <w:color w:val="000000" w:themeColor="text1"/>
                <w:sz w:val="22"/>
                <w:szCs w:val="22"/>
              </w:rPr>
            </w:pPr>
          </w:p>
        </w:tc>
      </w:tr>
      <w:tr w:rsidR="00120C8A" w:rsidRPr="00B77102" w14:paraId="72CD2AD3" w14:textId="77777777" w:rsidTr="00120C8A">
        <w:trPr>
          <w:trHeight w:val="340"/>
        </w:trPr>
        <w:tc>
          <w:tcPr>
            <w:tcW w:w="827" w:type="dxa"/>
          </w:tcPr>
          <w:p w14:paraId="55490568" w14:textId="77777777" w:rsidR="00120C8A" w:rsidRPr="00120C8A" w:rsidRDefault="00120C8A" w:rsidP="00120C8A">
            <w:pPr>
              <w:pStyle w:val="Odstavecseseznamem"/>
              <w:numPr>
                <w:ilvl w:val="0"/>
                <w:numId w:val="23"/>
              </w:numPr>
              <w:jc w:val="center"/>
              <w:rPr>
                <w:rFonts w:asciiTheme="minorHAnsi" w:hAnsiTheme="minorHAnsi" w:cstheme="minorHAnsi"/>
                <w:b/>
                <w:bCs/>
                <w:sz w:val="22"/>
                <w:szCs w:val="22"/>
              </w:rPr>
            </w:pPr>
          </w:p>
        </w:tc>
        <w:tc>
          <w:tcPr>
            <w:tcW w:w="3073" w:type="dxa"/>
            <w:shd w:val="clear" w:color="auto" w:fill="auto"/>
          </w:tcPr>
          <w:p w14:paraId="6D614F62" w14:textId="59ABFC2E" w:rsidR="00120C8A" w:rsidRPr="00120C8A" w:rsidRDefault="00120C8A" w:rsidP="00120C8A">
            <w:pPr>
              <w:rPr>
                <w:rFonts w:asciiTheme="minorHAnsi" w:hAnsiTheme="minorHAnsi" w:cstheme="minorHAnsi"/>
                <w:b/>
                <w:bCs/>
                <w:sz w:val="22"/>
                <w:szCs w:val="22"/>
              </w:rPr>
            </w:pPr>
            <w:r w:rsidRPr="00120C8A">
              <w:rPr>
                <w:rFonts w:asciiTheme="minorHAnsi" w:hAnsiTheme="minorHAnsi" w:cstheme="minorHAnsi"/>
                <w:b/>
                <w:bCs/>
                <w:sz w:val="22"/>
                <w:szCs w:val="22"/>
              </w:rPr>
              <w:t>Zásadní</w:t>
            </w:r>
          </w:p>
        </w:tc>
        <w:tc>
          <w:tcPr>
            <w:tcW w:w="4748" w:type="dxa"/>
            <w:shd w:val="clear" w:color="auto" w:fill="auto"/>
          </w:tcPr>
          <w:p w14:paraId="09820885" w14:textId="77777777" w:rsidR="00120C8A" w:rsidRPr="00120C8A" w:rsidRDefault="00120C8A" w:rsidP="00120C8A">
            <w:pPr>
              <w:autoSpaceDE w:val="0"/>
              <w:autoSpaceDN w:val="0"/>
              <w:adjustRightInd w:val="0"/>
              <w:spacing w:after="120"/>
              <w:jc w:val="both"/>
              <w:rPr>
                <w:rFonts w:asciiTheme="minorHAnsi" w:hAnsiTheme="minorHAnsi" w:cstheme="minorHAnsi"/>
                <w:b/>
                <w:sz w:val="22"/>
                <w:szCs w:val="22"/>
              </w:rPr>
            </w:pPr>
            <w:r w:rsidRPr="00120C8A">
              <w:rPr>
                <w:rFonts w:asciiTheme="minorHAnsi" w:hAnsiTheme="minorHAnsi" w:cstheme="minorHAnsi"/>
                <w:b/>
                <w:sz w:val="22"/>
                <w:szCs w:val="22"/>
              </w:rPr>
              <w:t>K části 1. Strategie programu</w:t>
            </w:r>
          </w:p>
          <w:p w14:paraId="5C8D975A" w14:textId="77777777" w:rsidR="00120C8A" w:rsidRPr="00120C8A" w:rsidRDefault="00120C8A" w:rsidP="00120C8A">
            <w:pPr>
              <w:autoSpaceDE w:val="0"/>
              <w:autoSpaceDN w:val="0"/>
              <w:adjustRightInd w:val="0"/>
              <w:spacing w:after="120"/>
              <w:jc w:val="both"/>
              <w:rPr>
                <w:rFonts w:asciiTheme="minorHAnsi" w:hAnsiTheme="minorHAnsi" w:cstheme="minorHAnsi"/>
                <w:sz w:val="22"/>
                <w:szCs w:val="22"/>
              </w:rPr>
            </w:pPr>
            <w:r w:rsidRPr="00120C8A">
              <w:rPr>
                <w:rFonts w:asciiTheme="minorHAnsi" w:hAnsiTheme="minorHAnsi" w:cstheme="minorHAnsi"/>
                <w:sz w:val="22"/>
                <w:szCs w:val="22"/>
              </w:rPr>
              <w:t xml:space="preserve">Rada žádá o doplnění společné vize či společného cíle pro popisovanou širokou škálu intervencí, a doplnění odkazu na Inovační strategii ČR 2019-2030, Národní RIS3 strategii a další relevantní strategie (viz zdůvodnění níže). Rada dále žádá v návazně na výše uvedené do úvodní části materiálu doplnit, jak </w:t>
            </w:r>
            <w:proofErr w:type="gramStart"/>
            <w:r w:rsidRPr="00120C8A">
              <w:rPr>
                <w:rFonts w:asciiTheme="minorHAnsi" w:hAnsiTheme="minorHAnsi" w:cstheme="minorHAnsi"/>
                <w:sz w:val="22"/>
                <w:szCs w:val="22"/>
              </w:rPr>
              <w:t>OP</w:t>
            </w:r>
            <w:proofErr w:type="gramEnd"/>
            <w:r w:rsidRPr="00120C8A">
              <w:rPr>
                <w:rFonts w:asciiTheme="minorHAnsi" w:hAnsiTheme="minorHAnsi" w:cstheme="minorHAnsi"/>
                <w:sz w:val="22"/>
                <w:szCs w:val="22"/>
              </w:rPr>
              <w:t xml:space="preserve"> TAK přispěje k záměrům uvedeným v NP </w:t>
            </w:r>
            <w:proofErr w:type="spellStart"/>
            <w:r w:rsidRPr="00120C8A">
              <w:rPr>
                <w:rFonts w:asciiTheme="minorHAnsi" w:hAnsiTheme="minorHAnsi" w:cstheme="minorHAnsi"/>
                <w:sz w:val="22"/>
                <w:szCs w:val="22"/>
              </w:rPr>
              <w:t>VaVaI</w:t>
            </w:r>
            <w:proofErr w:type="spellEnd"/>
            <w:r w:rsidRPr="00120C8A">
              <w:rPr>
                <w:rFonts w:asciiTheme="minorHAnsi" w:hAnsiTheme="minorHAnsi" w:cstheme="minorHAnsi"/>
                <w:sz w:val="22"/>
                <w:szCs w:val="22"/>
              </w:rPr>
              <w:t xml:space="preserve"> 2021+, totiž dosáhnout v roce 2030 investice do </w:t>
            </w:r>
            <w:proofErr w:type="spellStart"/>
            <w:r w:rsidRPr="00120C8A">
              <w:rPr>
                <w:rFonts w:asciiTheme="minorHAnsi" w:hAnsiTheme="minorHAnsi" w:cstheme="minorHAnsi"/>
                <w:sz w:val="22"/>
                <w:szCs w:val="22"/>
              </w:rPr>
              <w:t>VaVaI</w:t>
            </w:r>
            <w:proofErr w:type="spellEnd"/>
            <w:r w:rsidRPr="00120C8A">
              <w:rPr>
                <w:rFonts w:asciiTheme="minorHAnsi" w:hAnsiTheme="minorHAnsi" w:cstheme="minorHAnsi"/>
                <w:sz w:val="22"/>
                <w:szCs w:val="22"/>
              </w:rPr>
              <w:t xml:space="preserve"> z podnikatelských zdrojů na úrovni 2% HDP (viz tabulka 7.2 na str. 54 NP </w:t>
            </w:r>
            <w:proofErr w:type="spellStart"/>
            <w:r w:rsidRPr="00120C8A">
              <w:rPr>
                <w:rFonts w:asciiTheme="minorHAnsi" w:hAnsiTheme="minorHAnsi" w:cstheme="minorHAnsi"/>
                <w:sz w:val="22"/>
                <w:szCs w:val="22"/>
              </w:rPr>
              <w:t>VaVaI</w:t>
            </w:r>
            <w:proofErr w:type="spellEnd"/>
            <w:r w:rsidRPr="00120C8A">
              <w:rPr>
                <w:rFonts w:asciiTheme="minorHAnsi" w:hAnsiTheme="minorHAnsi" w:cstheme="minorHAnsi"/>
                <w:sz w:val="22"/>
                <w:szCs w:val="22"/>
              </w:rPr>
              <w:t xml:space="preserve"> 2021+).</w:t>
            </w:r>
          </w:p>
          <w:p w14:paraId="3EF44B03" w14:textId="77777777" w:rsidR="00120C8A" w:rsidRPr="00120C8A" w:rsidRDefault="00120C8A" w:rsidP="00120C8A">
            <w:pPr>
              <w:autoSpaceDE w:val="0"/>
              <w:autoSpaceDN w:val="0"/>
              <w:adjustRightInd w:val="0"/>
              <w:spacing w:after="120"/>
              <w:jc w:val="both"/>
              <w:rPr>
                <w:rFonts w:asciiTheme="minorHAnsi" w:hAnsiTheme="minorHAnsi" w:cstheme="minorHAnsi"/>
                <w:sz w:val="22"/>
                <w:szCs w:val="22"/>
              </w:rPr>
            </w:pPr>
            <w:r w:rsidRPr="00120C8A">
              <w:rPr>
                <w:rFonts w:asciiTheme="minorHAnsi" w:hAnsiTheme="minorHAnsi" w:cstheme="minorHAnsi"/>
                <w:sz w:val="22"/>
                <w:szCs w:val="22"/>
              </w:rPr>
              <w:t>Zdůvodnění:</w:t>
            </w:r>
          </w:p>
          <w:p w14:paraId="492F42F6" w14:textId="23DD3945" w:rsidR="00120C8A" w:rsidRPr="00120C8A" w:rsidRDefault="00120C8A" w:rsidP="00120C8A">
            <w:pPr>
              <w:autoSpaceDE w:val="0"/>
              <w:autoSpaceDN w:val="0"/>
              <w:adjustRightInd w:val="0"/>
              <w:spacing w:after="120"/>
              <w:jc w:val="both"/>
              <w:rPr>
                <w:rFonts w:asciiTheme="minorHAnsi" w:hAnsiTheme="minorHAnsi" w:cstheme="minorHAnsi"/>
                <w:sz w:val="22"/>
                <w:szCs w:val="22"/>
              </w:rPr>
            </w:pPr>
            <w:r w:rsidRPr="00120C8A">
              <w:rPr>
                <w:rFonts w:asciiTheme="minorHAnsi" w:hAnsiTheme="minorHAnsi" w:cstheme="minorHAnsi"/>
                <w:sz w:val="22"/>
                <w:szCs w:val="22"/>
              </w:rPr>
              <w:t xml:space="preserve">OP TAK zahrnuje širokou škálu intervencí, </w:t>
            </w:r>
            <w:proofErr w:type="gramStart"/>
            <w:r w:rsidRPr="00120C8A">
              <w:rPr>
                <w:rFonts w:asciiTheme="minorHAnsi" w:hAnsiTheme="minorHAnsi" w:cstheme="minorHAnsi"/>
                <w:sz w:val="22"/>
                <w:szCs w:val="22"/>
              </w:rPr>
              <w:t>které  však</w:t>
            </w:r>
            <w:proofErr w:type="gramEnd"/>
            <w:r w:rsidRPr="00120C8A">
              <w:rPr>
                <w:rFonts w:asciiTheme="minorHAnsi" w:hAnsiTheme="minorHAnsi" w:cstheme="minorHAnsi"/>
                <w:sz w:val="22"/>
                <w:szCs w:val="22"/>
              </w:rPr>
              <w:t xml:space="preserve"> postrádají společnou vizi či cíl. Jakého cíle má být dosaženo podporou z OP TAK? Z toho plyne jistá nedostatečnost orientace na harmonický rozvoj společnosti, případně dosažení nějakého cíle hospodářské strategie, jejíž principy schválila vláda. V úvodu rovněž není žádný odkaz/zmínka o Inovační strategii ČR 2019-2030, ani o RIS3 strategii, žádná deklarace dosahování evropských cílů, není zde zmínka o nové evropské průmyslové strategii, digitální strategii EU, zato je v úvodu popsána Strategie EU pro Podunají.</w:t>
            </w:r>
          </w:p>
        </w:tc>
        <w:tc>
          <w:tcPr>
            <w:tcW w:w="5670" w:type="dxa"/>
            <w:shd w:val="clear" w:color="auto" w:fill="auto"/>
          </w:tcPr>
          <w:p w14:paraId="7CAFF24B" w14:textId="4F474BC0" w:rsidR="000947C3" w:rsidRPr="000947C3" w:rsidRDefault="006350D2" w:rsidP="00120C8A">
            <w:pPr>
              <w:jc w:val="both"/>
              <w:rPr>
                <w:rFonts w:asciiTheme="minorHAnsi" w:hAnsiTheme="minorHAnsi" w:cstheme="minorHAnsi"/>
                <w:b/>
                <w:bCs/>
                <w:sz w:val="22"/>
                <w:szCs w:val="22"/>
              </w:rPr>
            </w:pPr>
            <w:r>
              <w:rPr>
                <w:rFonts w:asciiTheme="minorHAnsi" w:hAnsiTheme="minorHAnsi" w:cstheme="minorHAnsi"/>
                <w:b/>
                <w:bCs/>
                <w:sz w:val="22"/>
                <w:szCs w:val="22"/>
              </w:rPr>
              <w:t>Částečně akceptováno.</w:t>
            </w:r>
          </w:p>
          <w:p w14:paraId="758E0A82" w14:textId="6AD3FA2A" w:rsidR="006350D2" w:rsidRPr="0061329A" w:rsidRDefault="000947C3" w:rsidP="006350D2">
            <w:pPr>
              <w:pStyle w:val="Odstavecseseznamem"/>
              <w:numPr>
                <w:ilvl w:val="0"/>
                <w:numId w:val="29"/>
              </w:numPr>
              <w:spacing w:after="120" w:line="264" w:lineRule="auto"/>
              <w:ind w:left="0"/>
              <w:contextualSpacing w:val="0"/>
              <w:jc w:val="both"/>
              <w:rPr>
                <w:rFonts w:asciiTheme="minorHAnsi" w:hAnsiTheme="minorHAnsi" w:cstheme="minorHAnsi"/>
                <w:sz w:val="22"/>
                <w:szCs w:val="22"/>
              </w:rPr>
            </w:pPr>
            <w:r w:rsidRPr="00257ECF">
              <w:rPr>
                <w:rFonts w:asciiTheme="minorHAnsi" w:hAnsiTheme="minorHAnsi" w:cstheme="minorHAnsi"/>
                <w:color w:val="000000" w:themeColor="text1"/>
                <w:sz w:val="22"/>
                <w:szCs w:val="22"/>
              </w:rPr>
              <w:t xml:space="preserve">V tabulce 1 programového dokumentu </w:t>
            </w:r>
            <w:r w:rsidR="00512044" w:rsidRPr="00257ECF">
              <w:rPr>
                <w:rFonts w:asciiTheme="minorHAnsi" w:hAnsiTheme="minorHAnsi" w:cstheme="minorHAnsi"/>
                <w:color w:val="000000" w:themeColor="text1"/>
                <w:sz w:val="22"/>
                <w:szCs w:val="22"/>
              </w:rPr>
              <w:t xml:space="preserve">OP TAK </w:t>
            </w:r>
            <w:r w:rsidRPr="00257ECF">
              <w:rPr>
                <w:rFonts w:asciiTheme="minorHAnsi" w:hAnsiTheme="minorHAnsi" w:cstheme="minorHAnsi"/>
                <w:color w:val="000000" w:themeColor="text1"/>
                <w:sz w:val="22"/>
                <w:szCs w:val="22"/>
              </w:rPr>
              <w:t>jsou u všech specifických cílů odkazy na relevantní strategie</w:t>
            </w:r>
            <w:r w:rsidR="00257ECF" w:rsidRPr="00257ECF">
              <w:rPr>
                <w:rFonts w:asciiTheme="minorHAnsi" w:hAnsiTheme="minorHAnsi" w:cstheme="minorHAnsi"/>
                <w:color w:val="000000" w:themeColor="text1"/>
                <w:sz w:val="22"/>
                <w:szCs w:val="22"/>
              </w:rPr>
              <w:t>, jelikož se tato tabulka věnuje odůvodnění výběru cílů jednotlivých SC</w:t>
            </w:r>
            <w:r w:rsidRPr="00257ECF">
              <w:rPr>
                <w:rFonts w:asciiTheme="minorHAnsi" w:hAnsiTheme="minorHAnsi" w:cstheme="minorHAnsi"/>
                <w:color w:val="000000" w:themeColor="text1"/>
                <w:sz w:val="22"/>
                <w:szCs w:val="22"/>
              </w:rPr>
              <w:t>. Detailnější popis</w:t>
            </w:r>
            <w:r w:rsidR="00257ECF">
              <w:rPr>
                <w:rFonts w:asciiTheme="minorHAnsi" w:hAnsiTheme="minorHAnsi" w:cstheme="minorHAnsi"/>
                <w:color w:val="000000" w:themeColor="text1"/>
                <w:sz w:val="22"/>
                <w:szCs w:val="22"/>
              </w:rPr>
              <w:t xml:space="preserve"> v kap. 1 by tak byl duplicitní, navíc </w:t>
            </w:r>
            <w:r w:rsidRPr="00257ECF">
              <w:rPr>
                <w:rFonts w:asciiTheme="minorHAnsi" w:hAnsiTheme="minorHAnsi" w:cstheme="minorHAnsi"/>
                <w:color w:val="000000" w:themeColor="text1"/>
                <w:sz w:val="22"/>
                <w:szCs w:val="22"/>
              </w:rPr>
              <w:t xml:space="preserve">není možný díky omezenému počtu </w:t>
            </w:r>
            <w:r w:rsidR="001C77AD" w:rsidRPr="00257ECF">
              <w:rPr>
                <w:rFonts w:asciiTheme="minorHAnsi" w:hAnsiTheme="minorHAnsi" w:cstheme="minorHAnsi"/>
                <w:color w:val="000000" w:themeColor="text1"/>
                <w:sz w:val="22"/>
                <w:szCs w:val="22"/>
              </w:rPr>
              <w:t>znaků</w:t>
            </w:r>
            <w:r w:rsidRPr="00257ECF">
              <w:rPr>
                <w:rFonts w:asciiTheme="minorHAnsi" w:hAnsiTheme="minorHAnsi" w:cstheme="minorHAnsi"/>
                <w:color w:val="000000" w:themeColor="text1"/>
                <w:sz w:val="22"/>
                <w:szCs w:val="22"/>
              </w:rPr>
              <w:t xml:space="preserve"> pro programový dokument</w:t>
            </w:r>
            <w:r w:rsidR="001C77AD" w:rsidRPr="00257ECF">
              <w:rPr>
                <w:rFonts w:asciiTheme="minorHAnsi" w:hAnsiTheme="minorHAnsi" w:cstheme="minorHAnsi"/>
                <w:color w:val="000000" w:themeColor="text1"/>
                <w:sz w:val="22"/>
                <w:szCs w:val="22"/>
              </w:rPr>
              <w:t xml:space="preserve"> vyplývající ze šablony EK</w:t>
            </w:r>
            <w:r w:rsidRPr="00257ECF">
              <w:rPr>
                <w:rFonts w:asciiTheme="minorHAnsi" w:hAnsiTheme="minorHAnsi" w:cstheme="minorHAnsi"/>
                <w:color w:val="000000" w:themeColor="text1"/>
                <w:sz w:val="22"/>
                <w:szCs w:val="22"/>
              </w:rPr>
              <w:t>.</w:t>
            </w:r>
            <w:r w:rsidR="00257ECF" w:rsidRPr="00257ECF">
              <w:rPr>
                <w:rFonts w:asciiTheme="minorHAnsi" w:hAnsiTheme="minorHAnsi" w:cstheme="minorHAnsi"/>
                <w:color w:val="000000" w:themeColor="text1"/>
                <w:sz w:val="22"/>
                <w:szCs w:val="22"/>
              </w:rPr>
              <w:t xml:space="preserve"> Globální cíl je </w:t>
            </w:r>
            <w:r w:rsidR="00257ECF">
              <w:rPr>
                <w:rFonts w:asciiTheme="minorHAnsi" w:hAnsiTheme="minorHAnsi" w:cstheme="minorHAnsi"/>
                <w:color w:val="000000" w:themeColor="text1"/>
                <w:sz w:val="22"/>
                <w:szCs w:val="22"/>
              </w:rPr>
              <w:t>již uveden</w:t>
            </w:r>
            <w:r w:rsidR="00257ECF" w:rsidRPr="00257ECF">
              <w:rPr>
                <w:rFonts w:asciiTheme="minorHAnsi" w:hAnsiTheme="minorHAnsi" w:cstheme="minorHAnsi"/>
                <w:color w:val="000000" w:themeColor="text1"/>
                <w:sz w:val="22"/>
                <w:szCs w:val="22"/>
              </w:rPr>
              <w:t xml:space="preserve"> </w:t>
            </w:r>
            <w:r w:rsidR="006350D2" w:rsidRPr="0061329A">
              <w:rPr>
                <w:rFonts w:asciiTheme="minorHAnsi" w:hAnsiTheme="minorHAnsi" w:cstheme="minorHAnsi"/>
                <w:bCs/>
                <w:sz w:val="22"/>
                <w:szCs w:val="22"/>
              </w:rPr>
              <w:t>přímo v úvodu kap. 1 - viz str. 4 programového dokumentu OP TAK, nicméně aktuálně explicitně upraveno do podoby, aby bylo zcela zřejmé:</w:t>
            </w:r>
          </w:p>
          <w:p w14:paraId="65361C3A" w14:textId="77777777" w:rsidR="006350D2" w:rsidRPr="0061329A" w:rsidRDefault="006350D2" w:rsidP="006350D2">
            <w:pPr>
              <w:pStyle w:val="Odstavecseseznamem"/>
              <w:numPr>
                <w:ilvl w:val="0"/>
                <w:numId w:val="29"/>
              </w:numPr>
              <w:spacing w:after="120" w:line="264" w:lineRule="auto"/>
              <w:ind w:left="0"/>
              <w:contextualSpacing w:val="0"/>
              <w:jc w:val="both"/>
              <w:rPr>
                <w:rFonts w:asciiTheme="minorHAnsi" w:hAnsiTheme="minorHAnsi" w:cstheme="minorHAnsi"/>
                <w:b/>
              </w:rPr>
            </w:pPr>
            <w:r w:rsidRPr="0061329A">
              <w:rPr>
                <w:rFonts w:asciiTheme="minorHAnsi" w:hAnsiTheme="minorHAnsi" w:cstheme="minorHAnsi"/>
                <w:i/>
                <w:sz w:val="22"/>
                <w:szCs w:val="22"/>
              </w:rPr>
              <w:t xml:space="preserve">„Z pohledu české ekonomiky je primárním cílem OP TAK zvýšení přidané hodnoty a produktivity českých podniků (zejména MSP), zlepšení jejich postavení v rámci globálních hodnotových řetězců či větší využití nových příležitostí a s tím související intenzivnější stimulace vzniku a rozvoje nových inovativních firem. Program zároveň přispěje k rozvoji klíčových dovedností v rámci podniků a podporou dílčích opatření v jednotlivých oblastech zajistí komplementárně s dalšími nástroji podpory přechod k udržitelné a digitální ekonomice.“ </w:t>
            </w:r>
            <w:r w:rsidRPr="0061329A">
              <w:rPr>
                <w:rFonts w:asciiTheme="minorHAnsi" w:hAnsiTheme="minorHAnsi" w:cstheme="minorHAnsi"/>
                <w:sz w:val="22"/>
                <w:szCs w:val="22"/>
              </w:rPr>
              <w:t xml:space="preserve">Jednotlivé prvky jsou dále rozvedeny v rámci jednotlivých SC. Je tak potřeba číst programový dokument ve své komplexnosti, byť chápeme, že pro některé čtenáře může být text „hůře stravitelný“, což je však primárně dáno povinnou šablonou. Zároveň doporučujeme pozornosti požadavky na příslušnou kap. 1 dle čl. 22, odst. 3 </w:t>
            </w:r>
            <w:r w:rsidRPr="0061329A">
              <w:rPr>
                <w:rFonts w:asciiTheme="minorHAnsi" w:hAnsiTheme="minorHAnsi" w:cstheme="minorHAnsi"/>
                <w:bCs/>
                <w:i/>
                <w:sz w:val="22"/>
                <w:szCs w:val="22"/>
              </w:rPr>
              <w:t xml:space="preserve">Nařízení EP a Rady (EU) o společných ustanoveních o Evropském fondu pro regionální rozvoj, Evropském sociálním fondu plus, Fondu soudržnosti, Fondu pro spravedlivou transformaci </w:t>
            </w:r>
            <w:r w:rsidRPr="0061329A">
              <w:rPr>
                <w:rFonts w:asciiTheme="minorHAnsi" w:hAnsiTheme="minorHAnsi" w:cstheme="minorHAnsi"/>
                <w:bCs/>
                <w:i/>
                <w:sz w:val="22"/>
                <w:szCs w:val="22"/>
              </w:rPr>
              <w:lastRenderedPageBreak/>
              <w:t>a Evropském námořním rybářském a akvakulturním fondu a o finančních pravidlech pro tyto fondy a pro Azylový, migrační a integrační fond, Fond pro vnitřní bezpečnost a Nástroj pro finanční podporu správy hranic a vízové politiky</w:t>
            </w:r>
            <w:r w:rsidRPr="0061329A">
              <w:rPr>
                <w:rFonts w:asciiTheme="minorHAnsi" w:hAnsiTheme="minorHAnsi" w:cstheme="minorHAnsi"/>
                <w:bCs/>
                <w:sz w:val="22"/>
                <w:szCs w:val="22"/>
              </w:rPr>
              <w:t xml:space="preserve"> (dále jen „obecné nařízení), které text aktuálně plně reflektuje.</w:t>
            </w:r>
          </w:p>
          <w:p w14:paraId="67E5D8C6" w14:textId="3D158494" w:rsidR="006350D2" w:rsidRDefault="006350D2" w:rsidP="006350D2">
            <w:pPr>
              <w:jc w:val="both"/>
              <w:rPr>
                <w:rFonts w:asciiTheme="minorHAnsi" w:hAnsiTheme="minorHAnsi" w:cstheme="minorHAnsi"/>
                <w:color w:val="000000" w:themeColor="text1"/>
                <w:sz w:val="22"/>
                <w:szCs w:val="22"/>
              </w:rPr>
            </w:pPr>
            <w:r w:rsidRPr="0061329A">
              <w:rPr>
                <w:rFonts w:asciiTheme="minorHAnsi" w:hAnsiTheme="minorHAnsi" w:cstheme="minorHAnsi"/>
                <w:color w:val="000000" w:themeColor="text1"/>
                <w:sz w:val="22"/>
                <w:szCs w:val="22"/>
              </w:rPr>
              <w:t xml:space="preserve">Dále lze uvést, že OP TAK je primárně určen pro podnikatelskou sféru a při jeho přípravě byly využity pro ten účel zhotovené analýzy – analýza absorpční kapacity, analýzy tržní situace a specifikace vhodných forem podpory pro jednotlivé priority. Také byla využita Analýza Světové banky segmentu MSP v ČR, která primárně vznikla pro potřeby přípravy Strategie podpory malých a středních podniků v České republice pro období </w:t>
            </w:r>
            <w:proofErr w:type="gramStart"/>
            <w:r w:rsidRPr="0061329A">
              <w:rPr>
                <w:rFonts w:asciiTheme="minorHAnsi" w:hAnsiTheme="minorHAnsi" w:cstheme="minorHAnsi"/>
                <w:color w:val="000000" w:themeColor="text1"/>
                <w:sz w:val="22"/>
                <w:szCs w:val="22"/>
              </w:rPr>
              <w:t>2021 – 2027</w:t>
            </w:r>
            <w:proofErr w:type="gramEnd"/>
            <w:r w:rsidRPr="0061329A">
              <w:rPr>
                <w:rFonts w:asciiTheme="minorHAnsi" w:hAnsiTheme="minorHAnsi" w:cstheme="minorHAnsi"/>
                <w:color w:val="000000" w:themeColor="text1"/>
                <w:sz w:val="22"/>
                <w:szCs w:val="22"/>
              </w:rPr>
              <w:t xml:space="preserve">. Zároveň se vycházelo z celé řady strategických dokumentů na národní úrovni (Národní RIS 3 </w:t>
            </w:r>
            <w:r>
              <w:rPr>
                <w:rFonts w:asciiTheme="minorHAnsi" w:hAnsiTheme="minorHAnsi" w:cstheme="minorHAnsi"/>
                <w:color w:val="000000" w:themeColor="text1"/>
                <w:sz w:val="22"/>
                <w:szCs w:val="22"/>
              </w:rPr>
              <w:t>s</w:t>
            </w:r>
            <w:r w:rsidRPr="0061329A">
              <w:rPr>
                <w:rFonts w:asciiTheme="minorHAnsi" w:hAnsiTheme="minorHAnsi" w:cstheme="minorHAnsi"/>
                <w:color w:val="000000" w:themeColor="text1"/>
                <w:sz w:val="22"/>
                <w:szCs w:val="22"/>
              </w:rPr>
              <w:t>trategie, Inovační strategie ČR 2019-2030 atd.) a byl kladen důraz na to, aby všechna opatření byla v souladu s jejich obsahem. K tomu více viz tab. 1 programového dokumentu OP TAK.</w:t>
            </w:r>
          </w:p>
          <w:p w14:paraId="7D8BF24F" w14:textId="7CDBCB03" w:rsidR="006350D2" w:rsidRDefault="006350D2" w:rsidP="006350D2">
            <w:pPr>
              <w:jc w:val="both"/>
              <w:rPr>
                <w:rFonts w:asciiTheme="minorHAnsi" w:hAnsiTheme="minorHAnsi" w:cstheme="minorHAnsi"/>
                <w:color w:val="000000" w:themeColor="text1"/>
                <w:sz w:val="22"/>
                <w:szCs w:val="22"/>
              </w:rPr>
            </w:pPr>
          </w:p>
          <w:p w14:paraId="17083E49" w14:textId="323674F3" w:rsidR="006350D2" w:rsidRPr="006350D2" w:rsidRDefault="006350D2" w:rsidP="006350D2">
            <w:pPr>
              <w:pStyle w:val="Odstavecseseznamem"/>
              <w:numPr>
                <w:ilvl w:val="0"/>
                <w:numId w:val="29"/>
              </w:numPr>
              <w:spacing w:after="120" w:line="264" w:lineRule="auto"/>
              <w:ind w:left="0"/>
              <w:contextualSpacing w:val="0"/>
              <w:jc w:val="both"/>
              <w:rPr>
                <w:rFonts w:asciiTheme="minorHAnsi" w:hAnsiTheme="minorHAnsi" w:cstheme="minorHAnsi"/>
                <w:b/>
                <w:sz w:val="22"/>
                <w:szCs w:val="22"/>
              </w:rPr>
            </w:pPr>
            <w:r w:rsidRPr="0061329A">
              <w:rPr>
                <w:rFonts w:asciiTheme="minorHAnsi" w:hAnsiTheme="minorHAnsi" w:cstheme="minorHAnsi"/>
                <w:color w:val="000000" w:themeColor="text1"/>
                <w:sz w:val="22"/>
                <w:szCs w:val="22"/>
              </w:rPr>
              <w:t>OP TAK</w:t>
            </w:r>
            <w:r>
              <w:rPr>
                <w:rFonts w:asciiTheme="minorHAnsi" w:hAnsiTheme="minorHAnsi" w:cstheme="minorHAnsi"/>
                <w:color w:val="000000" w:themeColor="text1"/>
                <w:sz w:val="22"/>
                <w:szCs w:val="22"/>
              </w:rPr>
              <w:t xml:space="preserve">, </w:t>
            </w:r>
            <w:r w:rsidRPr="0061329A">
              <w:rPr>
                <w:rFonts w:asciiTheme="minorHAnsi" w:hAnsiTheme="minorHAnsi" w:cstheme="minorHAnsi"/>
                <w:color w:val="000000" w:themeColor="text1"/>
                <w:sz w:val="22"/>
                <w:szCs w:val="22"/>
              </w:rPr>
              <w:t>resp. NPO a OP ST</w:t>
            </w:r>
            <w:r>
              <w:rPr>
                <w:rFonts w:asciiTheme="minorHAnsi" w:hAnsiTheme="minorHAnsi" w:cstheme="minorHAnsi"/>
                <w:color w:val="000000" w:themeColor="text1"/>
                <w:sz w:val="22"/>
                <w:szCs w:val="22"/>
              </w:rPr>
              <w:t>,</w:t>
            </w:r>
            <w:r w:rsidRPr="0061329A">
              <w:rPr>
                <w:rFonts w:asciiTheme="minorHAnsi" w:hAnsiTheme="minorHAnsi" w:cstheme="minorHAnsi"/>
                <w:color w:val="000000" w:themeColor="text1"/>
                <w:sz w:val="22"/>
                <w:szCs w:val="22"/>
              </w:rPr>
              <w:t> pomáhají svým za</w:t>
            </w:r>
            <w:r>
              <w:rPr>
                <w:rFonts w:asciiTheme="minorHAnsi" w:hAnsiTheme="minorHAnsi" w:cstheme="minorHAnsi"/>
                <w:color w:val="000000" w:themeColor="text1"/>
                <w:sz w:val="22"/>
                <w:szCs w:val="22"/>
              </w:rPr>
              <w:t>měřením</w:t>
            </w:r>
            <w:r w:rsidRPr="0061329A">
              <w:rPr>
                <w:rFonts w:asciiTheme="minorHAnsi" w:hAnsiTheme="minorHAnsi" w:cstheme="minorHAnsi"/>
                <w:color w:val="000000" w:themeColor="text1"/>
                <w:sz w:val="22"/>
                <w:szCs w:val="22"/>
              </w:rPr>
              <w:t xml:space="preserve"> naplňovat cíle uvedené v dokumentu Národní politika výzkumu, vývoje a inovací České republiky 2021</w:t>
            </w:r>
            <w:proofErr w:type="gramStart"/>
            <w:r w:rsidRPr="0061329A">
              <w:rPr>
                <w:rFonts w:asciiTheme="minorHAnsi" w:hAnsiTheme="minorHAnsi" w:cstheme="minorHAnsi"/>
                <w:color w:val="000000" w:themeColor="text1"/>
                <w:sz w:val="22"/>
                <w:szCs w:val="22"/>
              </w:rPr>
              <w:t>+ ,</w:t>
            </w:r>
            <w:proofErr w:type="gramEnd"/>
            <w:r w:rsidRPr="0061329A">
              <w:rPr>
                <w:rFonts w:asciiTheme="minorHAnsi" w:hAnsiTheme="minorHAnsi" w:cstheme="minorHAnsi"/>
                <w:color w:val="000000" w:themeColor="text1"/>
                <w:sz w:val="22"/>
                <w:szCs w:val="22"/>
              </w:rPr>
              <w:t xml:space="preserve"> kapitola 4) Strategické cíle.</w:t>
            </w:r>
            <w:r w:rsidRPr="0061329A">
              <w:rPr>
                <w:rFonts w:asciiTheme="minorHAnsi" w:hAnsiTheme="minorHAnsi" w:cstheme="minorHAnsi"/>
                <w:sz w:val="22"/>
                <w:szCs w:val="22"/>
              </w:rPr>
              <w:t xml:space="preserve"> </w:t>
            </w:r>
            <w:r w:rsidRPr="0061329A">
              <w:rPr>
                <w:rFonts w:asciiTheme="minorHAnsi" w:hAnsiTheme="minorHAnsi" w:cstheme="minorHAnsi"/>
                <w:bCs/>
                <w:sz w:val="22"/>
                <w:szCs w:val="22"/>
              </w:rPr>
              <w:t xml:space="preserve">Dle našeho názoru </w:t>
            </w:r>
            <w:r>
              <w:rPr>
                <w:rFonts w:asciiTheme="minorHAnsi" w:hAnsiTheme="minorHAnsi" w:cstheme="minorHAnsi"/>
                <w:bCs/>
                <w:sz w:val="22"/>
                <w:szCs w:val="22"/>
              </w:rPr>
              <w:t xml:space="preserve">však </w:t>
            </w:r>
            <w:r w:rsidRPr="0061329A">
              <w:rPr>
                <w:rFonts w:asciiTheme="minorHAnsi" w:hAnsiTheme="minorHAnsi" w:cstheme="minorHAnsi"/>
                <w:bCs/>
                <w:sz w:val="22"/>
                <w:szCs w:val="22"/>
              </w:rPr>
              <w:t>není nezbytně nutné do této kapitoly uvádět</w:t>
            </w:r>
            <w:r>
              <w:rPr>
                <w:rFonts w:asciiTheme="minorHAnsi" w:hAnsiTheme="minorHAnsi" w:cstheme="minorHAnsi"/>
                <w:bCs/>
                <w:sz w:val="22"/>
                <w:szCs w:val="22"/>
              </w:rPr>
              <w:t xml:space="preserve">, jelikož příspěvek za jednotlivé nástroje by měl být spíše součástí nadřazeného dokumentu, který právě příspěvky jednotlivých zdrojů konsoliduje a vyhodnocuje (obdobně jako např. v případě VPEK či </w:t>
            </w:r>
            <w:proofErr w:type="spellStart"/>
            <w:r>
              <w:rPr>
                <w:rFonts w:asciiTheme="minorHAnsi" w:hAnsiTheme="minorHAnsi" w:cstheme="minorHAnsi"/>
                <w:bCs/>
                <w:sz w:val="22"/>
                <w:szCs w:val="22"/>
              </w:rPr>
              <w:t>DoP</w:t>
            </w:r>
            <w:proofErr w:type="spellEnd"/>
            <w:r>
              <w:rPr>
                <w:rFonts w:asciiTheme="minorHAnsi" w:hAnsiTheme="minorHAnsi" w:cstheme="minorHAnsi"/>
                <w:bCs/>
                <w:sz w:val="22"/>
                <w:szCs w:val="22"/>
              </w:rPr>
              <w:t xml:space="preserve"> za oblast příspěvku ke klima či energetické účinnosti)</w:t>
            </w:r>
            <w:r w:rsidRPr="0061329A">
              <w:rPr>
                <w:rFonts w:asciiTheme="minorHAnsi" w:hAnsiTheme="minorHAnsi" w:cstheme="minorHAnsi"/>
                <w:bCs/>
                <w:sz w:val="22"/>
                <w:szCs w:val="22"/>
              </w:rPr>
              <w:t xml:space="preserve">. </w:t>
            </w:r>
            <w:r>
              <w:rPr>
                <w:rFonts w:asciiTheme="minorHAnsi" w:hAnsiTheme="minorHAnsi" w:cstheme="minorHAnsi"/>
                <w:bCs/>
                <w:sz w:val="22"/>
                <w:szCs w:val="22"/>
              </w:rPr>
              <w:t>Pro úplnost pak uvádíme, že j</w:t>
            </w:r>
            <w:r w:rsidRPr="002262BD">
              <w:rPr>
                <w:rFonts w:asciiTheme="minorHAnsi" w:hAnsiTheme="minorHAnsi" w:cstheme="minorHAnsi"/>
                <w:bCs/>
                <w:sz w:val="22"/>
                <w:szCs w:val="22"/>
              </w:rPr>
              <w:t xml:space="preserve">sme </w:t>
            </w:r>
            <w:r>
              <w:rPr>
                <w:rFonts w:asciiTheme="minorHAnsi" w:hAnsiTheme="minorHAnsi" w:cstheme="minorHAnsi"/>
                <w:bCs/>
                <w:sz w:val="22"/>
                <w:szCs w:val="22"/>
              </w:rPr>
              <w:t xml:space="preserve">rovněž </w:t>
            </w:r>
            <w:r w:rsidRPr="002262BD">
              <w:rPr>
                <w:rFonts w:asciiTheme="minorHAnsi" w:hAnsiTheme="minorHAnsi" w:cstheme="minorHAnsi"/>
                <w:bCs/>
                <w:sz w:val="22"/>
                <w:szCs w:val="22"/>
              </w:rPr>
              <w:t xml:space="preserve">limitováni velmi omezeným počtem znaků dle šablony OP, který činí 30 000 znaků. </w:t>
            </w:r>
            <w:r w:rsidRPr="002262BD">
              <w:rPr>
                <w:rFonts w:asciiTheme="minorHAnsi" w:hAnsiTheme="minorHAnsi" w:cstheme="minorHAnsi"/>
                <w:sz w:val="22"/>
                <w:szCs w:val="22"/>
              </w:rPr>
              <w:t xml:space="preserve">Naopak </w:t>
            </w:r>
            <w:r>
              <w:rPr>
                <w:rFonts w:asciiTheme="minorHAnsi" w:hAnsiTheme="minorHAnsi" w:cstheme="minorHAnsi"/>
                <w:sz w:val="22"/>
                <w:szCs w:val="22"/>
              </w:rPr>
              <w:t xml:space="preserve">bylo nutno přistoupit </w:t>
            </w:r>
            <w:r w:rsidRPr="002262BD">
              <w:rPr>
                <w:rFonts w:asciiTheme="minorHAnsi" w:hAnsiTheme="minorHAnsi" w:cstheme="minorHAnsi"/>
                <w:sz w:val="22"/>
                <w:szCs w:val="22"/>
              </w:rPr>
              <w:t xml:space="preserve">k redukci </w:t>
            </w:r>
            <w:proofErr w:type="gramStart"/>
            <w:r w:rsidRPr="002262BD">
              <w:rPr>
                <w:rFonts w:asciiTheme="minorHAnsi" w:hAnsiTheme="minorHAnsi" w:cstheme="minorHAnsi"/>
                <w:sz w:val="22"/>
                <w:szCs w:val="22"/>
              </w:rPr>
              <w:t>textu</w:t>
            </w:r>
            <w:proofErr w:type="gramEnd"/>
            <w:r w:rsidRPr="002262BD">
              <w:rPr>
                <w:rFonts w:asciiTheme="minorHAnsi" w:hAnsiTheme="minorHAnsi" w:cstheme="minorHAnsi"/>
                <w:sz w:val="22"/>
                <w:szCs w:val="22"/>
              </w:rPr>
              <w:t xml:space="preserve"> a navíc i </w:t>
            </w:r>
            <w:r w:rsidRPr="002262BD">
              <w:rPr>
                <w:rFonts w:asciiTheme="minorHAnsi" w:hAnsiTheme="minorHAnsi" w:cstheme="minorHAnsi"/>
                <w:sz w:val="22"/>
                <w:szCs w:val="22"/>
              </w:rPr>
              <w:lastRenderedPageBreak/>
              <w:t>zapracování stěžejních připomínek, které MPO obdrželo od EK v rámci neformálního dialogu.</w:t>
            </w:r>
          </w:p>
          <w:p w14:paraId="3528A19F" w14:textId="7610976C" w:rsidR="000947C3" w:rsidRPr="00120C8A" w:rsidRDefault="000947C3" w:rsidP="00120C8A">
            <w:pPr>
              <w:jc w:val="both"/>
              <w:rPr>
                <w:rFonts w:asciiTheme="minorHAnsi" w:hAnsiTheme="minorHAnsi" w:cstheme="minorHAnsi"/>
                <w:b/>
                <w:bCs/>
                <w:sz w:val="22"/>
                <w:szCs w:val="22"/>
              </w:rPr>
            </w:pPr>
          </w:p>
        </w:tc>
      </w:tr>
      <w:tr w:rsidR="00120C8A" w:rsidRPr="00B77102" w14:paraId="3BC0967F" w14:textId="77777777" w:rsidTr="00120C8A">
        <w:trPr>
          <w:trHeight w:val="340"/>
        </w:trPr>
        <w:tc>
          <w:tcPr>
            <w:tcW w:w="827" w:type="dxa"/>
          </w:tcPr>
          <w:p w14:paraId="43F0C73B" w14:textId="77777777" w:rsidR="00120C8A" w:rsidRPr="00120C8A" w:rsidRDefault="00120C8A" w:rsidP="00120C8A">
            <w:pPr>
              <w:pStyle w:val="Odstavecseseznamem"/>
              <w:numPr>
                <w:ilvl w:val="0"/>
                <w:numId w:val="23"/>
              </w:numPr>
              <w:jc w:val="center"/>
              <w:rPr>
                <w:rFonts w:asciiTheme="minorHAnsi" w:hAnsiTheme="minorHAnsi" w:cstheme="minorHAnsi"/>
                <w:b/>
                <w:bCs/>
                <w:sz w:val="22"/>
                <w:szCs w:val="22"/>
              </w:rPr>
            </w:pPr>
          </w:p>
        </w:tc>
        <w:tc>
          <w:tcPr>
            <w:tcW w:w="3073" w:type="dxa"/>
            <w:shd w:val="clear" w:color="auto" w:fill="auto"/>
          </w:tcPr>
          <w:p w14:paraId="0717EF8A" w14:textId="6843F83F" w:rsidR="00120C8A" w:rsidRPr="00120C8A" w:rsidRDefault="00120C8A" w:rsidP="00120C8A">
            <w:pPr>
              <w:rPr>
                <w:rFonts w:asciiTheme="minorHAnsi" w:hAnsiTheme="minorHAnsi" w:cstheme="minorHAnsi"/>
                <w:b/>
                <w:bCs/>
                <w:sz w:val="22"/>
                <w:szCs w:val="22"/>
              </w:rPr>
            </w:pPr>
            <w:r w:rsidRPr="00120C8A">
              <w:rPr>
                <w:rFonts w:asciiTheme="minorHAnsi" w:hAnsiTheme="minorHAnsi" w:cstheme="minorHAnsi"/>
                <w:b/>
                <w:bCs/>
                <w:sz w:val="22"/>
                <w:szCs w:val="22"/>
              </w:rPr>
              <w:t>Zásadní</w:t>
            </w:r>
          </w:p>
        </w:tc>
        <w:tc>
          <w:tcPr>
            <w:tcW w:w="4748" w:type="dxa"/>
            <w:shd w:val="clear" w:color="auto" w:fill="auto"/>
          </w:tcPr>
          <w:p w14:paraId="19AA4303" w14:textId="77777777" w:rsidR="00120C8A" w:rsidRPr="00120C8A" w:rsidRDefault="00120C8A" w:rsidP="00120C8A">
            <w:pPr>
              <w:autoSpaceDE w:val="0"/>
              <w:autoSpaceDN w:val="0"/>
              <w:adjustRightInd w:val="0"/>
              <w:spacing w:after="120"/>
              <w:jc w:val="both"/>
              <w:rPr>
                <w:rFonts w:asciiTheme="minorHAnsi" w:hAnsiTheme="minorHAnsi" w:cstheme="minorHAnsi"/>
                <w:sz w:val="22"/>
                <w:szCs w:val="22"/>
              </w:rPr>
            </w:pPr>
            <w:r w:rsidRPr="00120C8A">
              <w:rPr>
                <w:rFonts w:asciiTheme="minorHAnsi" w:hAnsiTheme="minorHAnsi" w:cstheme="minorHAnsi"/>
                <w:sz w:val="22"/>
                <w:szCs w:val="22"/>
              </w:rPr>
              <w:t xml:space="preserve">Rada žádá doplnit v úvodní části rozbor, jaký efekt měl například OP PIK pro segment MSP, případně podniky se střední tržní kapitalizací z hlediska využívání výsledků </w:t>
            </w:r>
            <w:proofErr w:type="spellStart"/>
            <w:r w:rsidRPr="00120C8A">
              <w:rPr>
                <w:rFonts w:asciiTheme="minorHAnsi" w:hAnsiTheme="minorHAnsi" w:cstheme="minorHAnsi"/>
                <w:sz w:val="22"/>
                <w:szCs w:val="22"/>
              </w:rPr>
              <w:t>VaVaI</w:t>
            </w:r>
            <w:proofErr w:type="spellEnd"/>
            <w:r w:rsidRPr="00120C8A">
              <w:rPr>
                <w:rFonts w:asciiTheme="minorHAnsi" w:hAnsiTheme="minorHAnsi" w:cstheme="minorHAnsi"/>
                <w:sz w:val="22"/>
                <w:szCs w:val="22"/>
              </w:rPr>
              <w:t>.</w:t>
            </w:r>
          </w:p>
          <w:p w14:paraId="33D99864" w14:textId="77777777" w:rsidR="00120C8A" w:rsidRPr="00120C8A" w:rsidRDefault="00120C8A" w:rsidP="00120C8A">
            <w:pPr>
              <w:autoSpaceDE w:val="0"/>
              <w:autoSpaceDN w:val="0"/>
              <w:adjustRightInd w:val="0"/>
              <w:spacing w:after="120"/>
              <w:jc w:val="both"/>
              <w:rPr>
                <w:rFonts w:asciiTheme="minorHAnsi" w:hAnsiTheme="minorHAnsi" w:cstheme="minorHAnsi"/>
                <w:sz w:val="22"/>
                <w:szCs w:val="22"/>
              </w:rPr>
            </w:pPr>
            <w:r w:rsidRPr="00120C8A">
              <w:rPr>
                <w:rFonts w:asciiTheme="minorHAnsi" w:hAnsiTheme="minorHAnsi" w:cstheme="minorHAnsi"/>
                <w:sz w:val="22"/>
                <w:szCs w:val="22"/>
              </w:rPr>
              <w:t>Zdůvodnění:</w:t>
            </w:r>
          </w:p>
          <w:p w14:paraId="3C4D3116" w14:textId="57F34594" w:rsidR="00120C8A" w:rsidRPr="00120C8A" w:rsidRDefault="00120C8A" w:rsidP="00120C8A">
            <w:pPr>
              <w:autoSpaceDE w:val="0"/>
              <w:autoSpaceDN w:val="0"/>
              <w:adjustRightInd w:val="0"/>
              <w:spacing w:after="120"/>
              <w:jc w:val="both"/>
              <w:rPr>
                <w:rFonts w:asciiTheme="minorHAnsi" w:hAnsiTheme="minorHAnsi" w:cstheme="minorHAnsi"/>
                <w:sz w:val="22"/>
                <w:szCs w:val="22"/>
              </w:rPr>
            </w:pPr>
            <w:r w:rsidRPr="00120C8A">
              <w:rPr>
                <w:rFonts w:asciiTheme="minorHAnsi" w:hAnsiTheme="minorHAnsi" w:cstheme="minorHAnsi"/>
                <w:sz w:val="22"/>
                <w:szCs w:val="22"/>
              </w:rPr>
              <w:t>Skupina, na kterou je primárně zacílená podpora, jsou ve většině případů MSP, případně podniky se střední tržní kapitalizací.  V segmentu těchto firem se čím dál více rozevírají nůžky mezi relativně malým procentem firem inovativních a většinou firem zaostávajících.</w:t>
            </w:r>
          </w:p>
        </w:tc>
        <w:tc>
          <w:tcPr>
            <w:tcW w:w="5670" w:type="dxa"/>
            <w:shd w:val="clear" w:color="auto" w:fill="auto"/>
          </w:tcPr>
          <w:p w14:paraId="28859C11" w14:textId="77777777" w:rsidR="003759AB" w:rsidRDefault="003759AB" w:rsidP="00845889">
            <w:pPr>
              <w:jc w:val="both"/>
              <w:rPr>
                <w:rFonts w:asciiTheme="minorHAnsi" w:hAnsiTheme="minorHAnsi" w:cstheme="minorHAnsi"/>
                <w:b/>
                <w:bCs/>
                <w:sz w:val="22"/>
                <w:szCs w:val="22"/>
              </w:rPr>
            </w:pPr>
            <w:r>
              <w:rPr>
                <w:rFonts w:asciiTheme="minorHAnsi" w:hAnsiTheme="minorHAnsi" w:cstheme="minorHAnsi"/>
                <w:b/>
                <w:bCs/>
                <w:sz w:val="22"/>
                <w:szCs w:val="22"/>
              </w:rPr>
              <w:t>Vysvětleno.</w:t>
            </w:r>
          </w:p>
          <w:p w14:paraId="7860FC6B" w14:textId="67C062EC" w:rsidR="003759AB" w:rsidRPr="006350D2" w:rsidRDefault="00845889" w:rsidP="006350D2">
            <w:pPr>
              <w:pStyle w:val="Odstavecseseznamem"/>
              <w:numPr>
                <w:ilvl w:val="0"/>
                <w:numId w:val="29"/>
              </w:numPr>
              <w:spacing w:after="120" w:line="264" w:lineRule="auto"/>
              <w:ind w:left="0"/>
              <w:contextualSpacing w:val="0"/>
              <w:jc w:val="both"/>
              <w:rPr>
                <w:rFonts w:asciiTheme="minorHAnsi" w:hAnsiTheme="minorHAnsi"/>
                <w:b/>
                <w:bCs/>
                <w:sz w:val="22"/>
                <w:szCs w:val="22"/>
              </w:rPr>
            </w:pPr>
            <w:r w:rsidRPr="00845889">
              <w:rPr>
                <w:rFonts w:asciiTheme="minorHAnsi" w:hAnsiTheme="minorHAnsi" w:cstheme="minorHAnsi"/>
                <w:bCs/>
                <w:sz w:val="22"/>
                <w:szCs w:val="22"/>
              </w:rPr>
              <w:t>Rozsah (</w:t>
            </w:r>
            <w:r>
              <w:rPr>
                <w:rFonts w:asciiTheme="minorHAnsi" w:hAnsiTheme="minorHAnsi" w:cstheme="minorHAnsi"/>
                <w:bCs/>
                <w:sz w:val="22"/>
                <w:szCs w:val="22"/>
              </w:rPr>
              <w:t>3</w:t>
            </w:r>
            <w:r w:rsidRPr="00845889">
              <w:rPr>
                <w:rFonts w:asciiTheme="minorHAnsi" w:hAnsiTheme="minorHAnsi" w:cstheme="minorHAnsi"/>
                <w:bCs/>
                <w:sz w:val="22"/>
                <w:szCs w:val="22"/>
              </w:rPr>
              <w:t xml:space="preserve">0 000 znaků) a požadavky na obsah úvodní části jsou pevně dány </w:t>
            </w:r>
            <w:r w:rsidR="00EC1065" w:rsidRPr="00EC1065">
              <w:rPr>
                <w:rFonts w:asciiTheme="minorHAnsi" w:hAnsiTheme="minorHAnsi" w:cstheme="minorHAnsi"/>
                <w:bCs/>
                <w:sz w:val="22"/>
                <w:szCs w:val="22"/>
              </w:rPr>
              <w:t>tzv. obecným nařízením</w:t>
            </w:r>
            <w:r w:rsidRPr="00EC1065">
              <w:rPr>
                <w:rFonts w:asciiTheme="minorHAnsi" w:hAnsiTheme="minorHAnsi" w:cstheme="minorHAnsi"/>
                <w:bCs/>
                <w:sz w:val="22"/>
                <w:szCs w:val="22"/>
              </w:rPr>
              <w:t>.</w:t>
            </w:r>
            <w:r>
              <w:rPr>
                <w:rFonts w:asciiTheme="minorHAnsi" w:hAnsiTheme="minorHAnsi" w:cstheme="minorHAnsi"/>
                <w:bCs/>
                <w:sz w:val="22"/>
                <w:szCs w:val="22"/>
              </w:rPr>
              <w:t xml:space="preserve"> Aktuálně naopak </w:t>
            </w:r>
            <w:r w:rsidR="006350D2">
              <w:rPr>
                <w:rFonts w:asciiTheme="minorHAnsi" w:hAnsiTheme="minorHAnsi" w:cstheme="minorHAnsi"/>
                <w:bCs/>
                <w:sz w:val="22"/>
                <w:szCs w:val="22"/>
              </w:rPr>
              <w:t xml:space="preserve">muselo </w:t>
            </w:r>
            <w:r>
              <w:rPr>
                <w:rFonts w:asciiTheme="minorHAnsi" w:hAnsiTheme="minorHAnsi" w:cstheme="minorHAnsi"/>
                <w:bCs/>
                <w:sz w:val="22"/>
                <w:szCs w:val="22"/>
              </w:rPr>
              <w:t xml:space="preserve">dojít </w:t>
            </w:r>
            <w:r w:rsidR="009B5522">
              <w:rPr>
                <w:rFonts w:asciiTheme="minorHAnsi" w:hAnsiTheme="minorHAnsi" w:cstheme="minorHAnsi"/>
                <w:bCs/>
                <w:sz w:val="22"/>
                <w:szCs w:val="22"/>
              </w:rPr>
              <w:t xml:space="preserve">jednak k redukci textu a zároveň i k zapracování připomínek z neformálního dialogu s EK, z toho důvodu je bohužel nereálné zapracovat uváděný požadavek. </w:t>
            </w:r>
            <w:r w:rsidR="006350D2" w:rsidRPr="00D37458">
              <w:rPr>
                <w:rFonts w:asciiTheme="minorHAnsi" w:hAnsiTheme="minorHAnsi" w:cstheme="minorHAnsi"/>
                <w:bCs/>
                <w:sz w:val="22"/>
                <w:szCs w:val="22"/>
              </w:rPr>
              <w:t>Ohledně efektu podpory z OP PIK doporučujeme pozornosti uskutečněné evaluace na úrovni jednotlivých SC OP PIK, ze kterých se při koncipování OP TAK</w:t>
            </w:r>
            <w:r w:rsidR="006350D2">
              <w:rPr>
                <w:rFonts w:asciiTheme="minorHAnsi" w:hAnsiTheme="minorHAnsi" w:cstheme="minorHAnsi"/>
                <w:bCs/>
                <w:sz w:val="22"/>
                <w:szCs w:val="22"/>
              </w:rPr>
              <w:t xml:space="preserve"> (a jeho intervenční logiky)</w:t>
            </w:r>
            <w:r w:rsidR="006350D2" w:rsidRPr="00D37458">
              <w:rPr>
                <w:rFonts w:asciiTheme="minorHAnsi" w:hAnsiTheme="minorHAnsi" w:cstheme="minorHAnsi"/>
                <w:bCs/>
                <w:sz w:val="22"/>
                <w:szCs w:val="22"/>
              </w:rPr>
              <w:t xml:space="preserve"> rovněž vycházelo. Ty jsou k dispozici zde: </w:t>
            </w:r>
            <w:r w:rsidR="006350D2" w:rsidRPr="00D37458">
              <w:rPr>
                <w:rStyle w:val="Hypertextovodkaz"/>
                <w:rFonts w:ascii="Calibri" w:hAnsi="Calibri" w:cs="Calibri"/>
                <w:sz w:val="20"/>
                <w:szCs w:val="20"/>
              </w:rPr>
              <w:t>mpo.cz/cz/podnikani/dotace-a-podpora-podnikani/oppik-2014-2020/evaluace-a-analyzy/evaluace-a-jine-analyzy--157435/</w:t>
            </w:r>
          </w:p>
        </w:tc>
      </w:tr>
      <w:tr w:rsidR="00120C8A" w:rsidRPr="00B77102" w14:paraId="7EC55F94" w14:textId="77777777" w:rsidTr="00120C8A">
        <w:trPr>
          <w:trHeight w:val="340"/>
        </w:trPr>
        <w:tc>
          <w:tcPr>
            <w:tcW w:w="827" w:type="dxa"/>
          </w:tcPr>
          <w:p w14:paraId="2EE2918E" w14:textId="77777777" w:rsidR="00120C8A" w:rsidRPr="00120C8A" w:rsidRDefault="00120C8A" w:rsidP="00120C8A">
            <w:pPr>
              <w:pStyle w:val="Odstavecseseznamem"/>
              <w:numPr>
                <w:ilvl w:val="0"/>
                <w:numId w:val="23"/>
              </w:numPr>
              <w:jc w:val="center"/>
              <w:rPr>
                <w:rFonts w:asciiTheme="minorHAnsi" w:hAnsiTheme="minorHAnsi" w:cstheme="minorHAnsi"/>
                <w:b/>
                <w:bCs/>
                <w:sz w:val="22"/>
                <w:szCs w:val="22"/>
              </w:rPr>
            </w:pPr>
          </w:p>
        </w:tc>
        <w:tc>
          <w:tcPr>
            <w:tcW w:w="3073" w:type="dxa"/>
            <w:shd w:val="clear" w:color="auto" w:fill="auto"/>
          </w:tcPr>
          <w:p w14:paraId="44F6CFD9" w14:textId="09DF628F" w:rsidR="00120C8A" w:rsidRPr="00120C8A" w:rsidRDefault="00120C8A" w:rsidP="00120C8A">
            <w:pPr>
              <w:rPr>
                <w:rFonts w:asciiTheme="minorHAnsi" w:hAnsiTheme="minorHAnsi" w:cstheme="minorHAnsi"/>
                <w:b/>
                <w:bCs/>
                <w:sz w:val="22"/>
                <w:szCs w:val="22"/>
              </w:rPr>
            </w:pPr>
            <w:r w:rsidRPr="00120C8A">
              <w:rPr>
                <w:rFonts w:asciiTheme="minorHAnsi" w:hAnsiTheme="minorHAnsi" w:cstheme="minorHAnsi"/>
                <w:b/>
                <w:bCs/>
                <w:sz w:val="22"/>
                <w:szCs w:val="22"/>
              </w:rPr>
              <w:t>Zásadní</w:t>
            </w:r>
          </w:p>
        </w:tc>
        <w:tc>
          <w:tcPr>
            <w:tcW w:w="4748" w:type="dxa"/>
            <w:shd w:val="clear" w:color="auto" w:fill="auto"/>
          </w:tcPr>
          <w:p w14:paraId="596FD2B3" w14:textId="77777777" w:rsidR="00120C8A" w:rsidRPr="00120C8A" w:rsidRDefault="00120C8A" w:rsidP="00120C8A">
            <w:pPr>
              <w:autoSpaceDE w:val="0"/>
              <w:autoSpaceDN w:val="0"/>
              <w:adjustRightInd w:val="0"/>
              <w:spacing w:after="120"/>
              <w:jc w:val="both"/>
              <w:rPr>
                <w:rFonts w:asciiTheme="minorHAnsi" w:hAnsiTheme="minorHAnsi" w:cstheme="minorHAnsi"/>
                <w:sz w:val="22"/>
                <w:szCs w:val="22"/>
              </w:rPr>
            </w:pPr>
            <w:r w:rsidRPr="00120C8A">
              <w:rPr>
                <w:rFonts w:asciiTheme="minorHAnsi" w:hAnsiTheme="minorHAnsi" w:cstheme="minorHAnsi"/>
                <w:sz w:val="22"/>
                <w:szCs w:val="22"/>
              </w:rPr>
              <w:t>Rada žádá o doplnění vazby na obory s nejvyšší přidanou hodnotou, případně na obory „rychloobrátkové“, tj. biotechnologie, farmacie, IT – tak, jak to plyne z domén specializace Národní RIS3 strategie.</w:t>
            </w:r>
          </w:p>
          <w:p w14:paraId="31F30BD9" w14:textId="77777777" w:rsidR="00120C8A" w:rsidRPr="00120C8A" w:rsidRDefault="00120C8A" w:rsidP="00120C8A">
            <w:pPr>
              <w:autoSpaceDE w:val="0"/>
              <w:autoSpaceDN w:val="0"/>
              <w:adjustRightInd w:val="0"/>
              <w:spacing w:after="120"/>
              <w:jc w:val="both"/>
              <w:rPr>
                <w:rFonts w:asciiTheme="minorHAnsi" w:hAnsiTheme="minorHAnsi" w:cstheme="minorHAnsi"/>
                <w:sz w:val="22"/>
                <w:szCs w:val="22"/>
              </w:rPr>
            </w:pPr>
            <w:r w:rsidRPr="00120C8A">
              <w:rPr>
                <w:rFonts w:asciiTheme="minorHAnsi" w:hAnsiTheme="minorHAnsi" w:cstheme="minorHAnsi"/>
                <w:sz w:val="22"/>
                <w:szCs w:val="22"/>
              </w:rPr>
              <w:t>Zdůvodnění:</w:t>
            </w:r>
          </w:p>
          <w:p w14:paraId="4B909AD0" w14:textId="10801891" w:rsidR="00120C8A" w:rsidRPr="00120C8A" w:rsidRDefault="00120C8A" w:rsidP="00120C8A">
            <w:pPr>
              <w:autoSpaceDE w:val="0"/>
              <w:autoSpaceDN w:val="0"/>
              <w:adjustRightInd w:val="0"/>
              <w:spacing w:after="120"/>
              <w:jc w:val="both"/>
              <w:rPr>
                <w:rFonts w:asciiTheme="minorHAnsi" w:hAnsiTheme="minorHAnsi" w:cstheme="minorHAnsi"/>
                <w:sz w:val="22"/>
                <w:szCs w:val="22"/>
              </w:rPr>
            </w:pPr>
            <w:r w:rsidRPr="00120C8A">
              <w:rPr>
                <w:rFonts w:asciiTheme="minorHAnsi" w:hAnsiTheme="minorHAnsi" w:cstheme="minorHAnsi"/>
                <w:sz w:val="22"/>
                <w:szCs w:val="22"/>
              </w:rPr>
              <w:t>V podpoře výzkumu a inovací není zřejmá orientace na tyto obory.</w:t>
            </w:r>
          </w:p>
        </w:tc>
        <w:tc>
          <w:tcPr>
            <w:tcW w:w="5670" w:type="dxa"/>
            <w:shd w:val="clear" w:color="auto" w:fill="auto"/>
          </w:tcPr>
          <w:p w14:paraId="213F252F" w14:textId="77777777" w:rsidR="000947C3" w:rsidRPr="000947C3" w:rsidRDefault="000947C3" w:rsidP="000947C3">
            <w:pPr>
              <w:jc w:val="both"/>
              <w:rPr>
                <w:rFonts w:asciiTheme="minorHAnsi" w:hAnsiTheme="minorHAnsi" w:cstheme="minorHAnsi"/>
                <w:b/>
                <w:color w:val="000000" w:themeColor="text1"/>
                <w:sz w:val="22"/>
                <w:szCs w:val="22"/>
              </w:rPr>
            </w:pPr>
            <w:r w:rsidRPr="000947C3">
              <w:rPr>
                <w:rFonts w:asciiTheme="minorHAnsi" w:hAnsiTheme="minorHAnsi" w:cstheme="minorHAnsi"/>
                <w:b/>
                <w:color w:val="000000" w:themeColor="text1"/>
                <w:sz w:val="22"/>
                <w:szCs w:val="22"/>
              </w:rPr>
              <w:t>Vysvětleno.</w:t>
            </w:r>
          </w:p>
          <w:p w14:paraId="19F9D6AF" w14:textId="67FBEFE8" w:rsidR="000947C3" w:rsidRPr="000947C3" w:rsidRDefault="000947C3" w:rsidP="000947C3">
            <w:pPr>
              <w:jc w:val="both"/>
              <w:rPr>
                <w:rFonts w:asciiTheme="minorHAnsi" w:hAnsiTheme="minorHAnsi" w:cstheme="minorHAnsi"/>
                <w:color w:val="000000" w:themeColor="text1"/>
                <w:sz w:val="22"/>
                <w:szCs w:val="22"/>
              </w:rPr>
            </w:pPr>
            <w:r w:rsidRPr="000947C3">
              <w:rPr>
                <w:rFonts w:asciiTheme="minorHAnsi" w:hAnsiTheme="minorHAnsi" w:cstheme="minorHAnsi"/>
                <w:color w:val="000000" w:themeColor="text1"/>
                <w:sz w:val="22"/>
                <w:szCs w:val="22"/>
              </w:rPr>
              <w:t xml:space="preserve">Zásadním dokumentem pro využívání </w:t>
            </w:r>
            <w:proofErr w:type="spellStart"/>
            <w:r w:rsidRPr="000947C3">
              <w:rPr>
                <w:rFonts w:asciiTheme="minorHAnsi" w:hAnsiTheme="minorHAnsi" w:cstheme="minorHAnsi"/>
                <w:color w:val="000000" w:themeColor="text1"/>
                <w:sz w:val="22"/>
                <w:szCs w:val="22"/>
              </w:rPr>
              <w:t>fin</w:t>
            </w:r>
            <w:proofErr w:type="spellEnd"/>
            <w:r w:rsidRPr="000947C3">
              <w:rPr>
                <w:rFonts w:asciiTheme="minorHAnsi" w:hAnsiTheme="minorHAnsi" w:cstheme="minorHAnsi"/>
                <w:color w:val="000000" w:themeColor="text1"/>
                <w:sz w:val="22"/>
                <w:szCs w:val="22"/>
              </w:rPr>
              <w:t>. prostředků z E</w:t>
            </w:r>
            <w:r w:rsidR="001C77AD">
              <w:rPr>
                <w:rFonts w:asciiTheme="minorHAnsi" w:hAnsiTheme="minorHAnsi" w:cstheme="minorHAnsi"/>
                <w:color w:val="000000" w:themeColor="text1"/>
                <w:sz w:val="22"/>
                <w:szCs w:val="22"/>
              </w:rPr>
              <w:t>FRR</w:t>
            </w:r>
            <w:r w:rsidRPr="000947C3">
              <w:rPr>
                <w:rFonts w:asciiTheme="minorHAnsi" w:hAnsiTheme="minorHAnsi" w:cstheme="minorHAnsi"/>
                <w:color w:val="000000" w:themeColor="text1"/>
                <w:sz w:val="22"/>
                <w:szCs w:val="22"/>
              </w:rPr>
              <w:t xml:space="preserve"> na podporu </w:t>
            </w:r>
            <w:proofErr w:type="spellStart"/>
            <w:r w:rsidRPr="000947C3">
              <w:rPr>
                <w:rFonts w:asciiTheme="minorHAnsi" w:hAnsiTheme="minorHAnsi" w:cstheme="minorHAnsi"/>
                <w:color w:val="000000" w:themeColor="text1"/>
                <w:sz w:val="22"/>
                <w:szCs w:val="22"/>
              </w:rPr>
              <w:t>VaI</w:t>
            </w:r>
            <w:proofErr w:type="spellEnd"/>
            <w:r w:rsidRPr="000947C3">
              <w:rPr>
                <w:rFonts w:asciiTheme="minorHAnsi" w:hAnsiTheme="minorHAnsi" w:cstheme="minorHAnsi"/>
                <w:color w:val="000000" w:themeColor="text1"/>
                <w:sz w:val="22"/>
                <w:szCs w:val="22"/>
              </w:rPr>
              <w:t xml:space="preserve"> je RIS3</w:t>
            </w:r>
            <w:r w:rsidR="00CC61B2">
              <w:rPr>
                <w:rFonts w:asciiTheme="minorHAnsi" w:hAnsiTheme="minorHAnsi" w:cstheme="minorHAnsi"/>
                <w:color w:val="000000" w:themeColor="text1"/>
                <w:sz w:val="22"/>
                <w:szCs w:val="22"/>
              </w:rPr>
              <w:t xml:space="preserve"> (viz čl. 73 tzv. obecného nařízení)</w:t>
            </w:r>
            <w:r w:rsidRPr="000947C3">
              <w:rPr>
                <w:rFonts w:asciiTheme="minorHAnsi" w:hAnsiTheme="minorHAnsi" w:cstheme="minorHAnsi"/>
                <w:color w:val="000000" w:themeColor="text1"/>
                <w:sz w:val="22"/>
                <w:szCs w:val="22"/>
              </w:rPr>
              <w:t>, která obsahuje prioritní aplikační oblasti i definice relevantních pokročilých technologií – tedy právě takových, jaké uvádíte i Vy.</w:t>
            </w:r>
          </w:p>
          <w:p w14:paraId="20ADBF48" w14:textId="77777777" w:rsidR="000947C3" w:rsidRPr="000947C3" w:rsidRDefault="000947C3" w:rsidP="000947C3">
            <w:pPr>
              <w:jc w:val="both"/>
              <w:rPr>
                <w:rFonts w:asciiTheme="minorHAnsi" w:hAnsiTheme="minorHAnsi" w:cstheme="minorHAnsi"/>
                <w:color w:val="000000" w:themeColor="text1"/>
                <w:sz w:val="22"/>
                <w:szCs w:val="22"/>
              </w:rPr>
            </w:pPr>
            <w:r w:rsidRPr="000947C3">
              <w:rPr>
                <w:rFonts w:asciiTheme="minorHAnsi" w:hAnsiTheme="minorHAnsi" w:cstheme="minorHAnsi"/>
                <w:color w:val="000000" w:themeColor="text1"/>
                <w:sz w:val="22"/>
                <w:szCs w:val="22"/>
              </w:rPr>
              <w:t xml:space="preserve">V OP TAK v oblasti </w:t>
            </w:r>
            <w:proofErr w:type="spellStart"/>
            <w:r w:rsidRPr="000947C3">
              <w:rPr>
                <w:rFonts w:asciiTheme="minorHAnsi" w:hAnsiTheme="minorHAnsi" w:cstheme="minorHAnsi"/>
                <w:color w:val="000000" w:themeColor="text1"/>
                <w:sz w:val="22"/>
                <w:szCs w:val="22"/>
              </w:rPr>
              <w:t>VaI</w:t>
            </w:r>
            <w:proofErr w:type="spellEnd"/>
            <w:r w:rsidRPr="000947C3">
              <w:rPr>
                <w:rFonts w:asciiTheme="minorHAnsi" w:hAnsiTheme="minorHAnsi" w:cstheme="minorHAnsi"/>
                <w:color w:val="000000" w:themeColor="text1"/>
                <w:sz w:val="22"/>
                <w:szCs w:val="22"/>
              </w:rPr>
              <w:t xml:space="preserve"> všechny aktivity budou navázány na prioritní oblasti RIS3.</w:t>
            </w:r>
          </w:p>
          <w:p w14:paraId="4490007A" w14:textId="77777777" w:rsidR="000947C3" w:rsidRPr="000947C3" w:rsidRDefault="000947C3" w:rsidP="000947C3">
            <w:pPr>
              <w:jc w:val="both"/>
              <w:rPr>
                <w:rFonts w:asciiTheme="minorHAnsi" w:hAnsiTheme="minorHAnsi" w:cstheme="minorHAnsi"/>
                <w:color w:val="000000" w:themeColor="text1"/>
                <w:sz w:val="22"/>
                <w:szCs w:val="22"/>
              </w:rPr>
            </w:pPr>
          </w:p>
          <w:p w14:paraId="636F218F" w14:textId="77777777" w:rsidR="000947C3" w:rsidRPr="000947C3" w:rsidRDefault="000947C3" w:rsidP="000947C3">
            <w:pPr>
              <w:jc w:val="both"/>
              <w:rPr>
                <w:rFonts w:asciiTheme="minorHAnsi" w:hAnsiTheme="minorHAnsi" w:cstheme="minorHAnsi"/>
                <w:color w:val="000000" w:themeColor="text1"/>
                <w:sz w:val="22"/>
                <w:szCs w:val="22"/>
              </w:rPr>
            </w:pPr>
            <w:r w:rsidRPr="000947C3">
              <w:rPr>
                <w:rFonts w:asciiTheme="minorHAnsi" w:hAnsiTheme="minorHAnsi" w:cstheme="minorHAnsi"/>
                <w:color w:val="000000" w:themeColor="text1"/>
                <w:sz w:val="22"/>
                <w:szCs w:val="22"/>
              </w:rPr>
              <w:t>OP TAK neobsahuje taxativní výčet pokročilých technologií ani preferovaných směrů, uvádíme je zde pouze jako příklady.</w:t>
            </w:r>
          </w:p>
          <w:p w14:paraId="3967519A" w14:textId="77777777" w:rsidR="000947C3" w:rsidRPr="000947C3" w:rsidRDefault="000947C3" w:rsidP="000947C3">
            <w:pPr>
              <w:jc w:val="both"/>
              <w:rPr>
                <w:rFonts w:asciiTheme="minorHAnsi" w:hAnsiTheme="minorHAnsi" w:cstheme="minorHAnsi"/>
                <w:color w:val="000000" w:themeColor="text1"/>
                <w:sz w:val="22"/>
                <w:szCs w:val="22"/>
              </w:rPr>
            </w:pPr>
          </w:p>
          <w:p w14:paraId="4BB254F1" w14:textId="77BA28B2" w:rsidR="000947C3" w:rsidRDefault="000947C3" w:rsidP="000947C3">
            <w:pPr>
              <w:jc w:val="both"/>
              <w:rPr>
                <w:rFonts w:asciiTheme="minorHAnsi" w:hAnsiTheme="minorHAnsi" w:cstheme="minorHAnsi"/>
                <w:color w:val="000000" w:themeColor="text1"/>
                <w:sz w:val="22"/>
                <w:szCs w:val="22"/>
              </w:rPr>
            </w:pPr>
            <w:r w:rsidRPr="000947C3">
              <w:rPr>
                <w:rFonts w:asciiTheme="minorHAnsi" w:hAnsiTheme="minorHAnsi" w:cstheme="minorHAnsi"/>
                <w:color w:val="000000" w:themeColor="text1"/>
                <w:sz w:val="22"/>
                <w:szCs w:val="22"/>
              </w:rPr>
              <w:t xml:space="preserve">OP TAK se zaměří na realizaci podnikového výzkumu a vývoje v oblasti perspektivních technologií odpovídající aktuálním potřebám podnikatelského sektoru i potřebám společnosti (vazba na RIS3 strategii a společenské výzvy), s důrazem na tržní uplatnění inovačních řešení a stimulaci podniků </w:t>
            </w:r>
            <w:r w:rsidRPr="000947C3">
              <w:rPr>
                <w:rFonts w:asciiTheme="minorHAnsi" w:hAnsiTheme="minorHAnsi" w:cstheme="minorHAnsi"/>
                <w:color w:val="000000" w:themeColor="text1"/>
                <w:sz w:val="22"/>
                <w:szCs w:val="22"/>
              </w:rPr>
              <w:lastRenderedPageBreak/>
              <w:t xml:space="preserve">k realizaci přelomových inovací s vysokým ekonomickým potenciálem. </w:t>
            </w:r>
          </w:p>
          <w:p w14:paraId="3BB81C71" w14:textId="2127E48F" w:rsidR="00EC1065" w:rsidRDefault="00EC1065" w:rsidP="000947C3">
            <w:pPr>
              <w:jc w:val="both"/>
              <w:rPr>
                <w:rFonts w:asciiTheme="minorHAnsi" w:hAnsiTheme="minorHAnsi" w:cstheme="minorHAnsi"/>
                <w:color w:val="000000" w:themeColor="text1"/>
                <w:sz w:val="22"/>
                <w:szCs w:val="22"/>
              </w:rPr>
            </w:pPr>
          </w:p>
          <w:p w14:paraId="1277FCB2" w14:textId="0A030831" w:rsidR="00EC1065" w:rsidRPr="000947C3" w:rsidRDefault="00EC1065" w:rsidP="000947C3">
            <w:pPr>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Dále rovněž vypořádání připomínky č. 3.</w:t>
            </w:r>
          </w:p>
          <w:p w14:paraId="058FF562" w14:textId="33DBA3A9" w:rsidR="000947C3" w:rsidRPr="00120C8A" w:rsidRDefault="000947C3" w:rsidP="00120C8A">
            <w:pPr>
              <w:jc w:val="both"/>
              <w:rPr>
                <w:rFonts w:asciiTheme="minorHAnsi" w:hAnsiTheme="minorHAnsi" w:cstheme="minorHAnsi"/>
                <w:b/>
                <w:bCs/>
                <w:sz w:val="22"/>
                <w:szCs w:val="22"/>
              </w:rPr>
            </w:pPr>
          </w:p>
        </w:tc>
      </w:tr>
      <w:tr w:rsidR="00120C8A" w:rsidRPr="00B77102" w14:paraId="4617A76E" w14:textId="77777777" w:rsidTr="00120C8A">
        <w:trPr>
          <w:trHeight w:val="340"/>
        </w:trPr>
        <w:tc>
          <w:tcPr>
            <w:tcW w:w="827" w:type="dxa"/>
          </w:tcPr>
          <w:p w14:paraId="74F0ACB2" w14:textId="77777777" w:rsidR="00120C8A" w:rsidRPr="00120C8A" w:rsidRDefault="00120C8A" w:rsidP="00120C8A">
            <w:pPr>
              <w:pStyle w:val="Odstavecseseznamem"/>
              <w:numPr>
                <w:ilvl w:val="0"/>
                <w:numId w:val="23"/>
              </w:numPr>
              <w:jc w:val="center"/>
              <w:rPr>
                <w:rFonts w:asciiTheme="minorHAnsi" w:hAnsiTheme="minorHAnsi" w:cstheme="minorHAnsi"/>
                <w:b/>
                <w:bCs/>
                <w:sz w:val="22"/>
                <w:szCs w:val="22"/>
              </w:rPr>
            </w:pPr>
            <w:bookmarkStart w:id="0" w:name="_Hlk73000377"/>
          </w:p>
        </w:tc>
        <w:tc>
          <w:tcPr>
            <w:tcW w:w="3073" w:type="dxa"/>
            <w:shd w:val="clear" w:color="auto" w:fill="auto"/>
          </w:tcPr>
          <w:p w14:paraId="501E1349" w14:textId="0E8765D7" w:rsidR="00120C8A" w:rsidRPr="007F1252" w:rsidRDefault="00120C8A" w:rsidP="00120C8A">
            <w:pPr>
              <w:rPr>
                <w:rFonts w:asciiTheme="minorHAnsi" w:hAnsiTheme="minorHAnsi" w:cstheme="minorHAnsi"/>
                <w:b/>
                <w:bCs/>
                <w:color w:val="000000" w:themeColor="text1"/>
                <w:sz w:val="22"/>
                <w:szCs w:val="22"/>
              </w:rPr>
            </w:pPr>
            <w:r w:rsidRPr="007F1252">
              <w:rPr>
                <w:rFonts w:asciiTheme="minorHAnsi" w:hAnsiTheme="minorHAnsi" w:cstheme="minorHAnsi"/>
                <w:b/>
                <w:bCs/>
                <w:color w:val="000000" w:themeColor="text1"/>
                <w:sz w:val="22"/>
                <w:szCs w:val="22"/>
              </w:rPr>
              <w:t>Doporučující</w:t>
            </w:r>
          </w:p>
        </w:tc>
        <w:tc>
          <w:tcPr>
            <w:tcW w:w="4748" w:type="dxa"/>
            <w:shd w:val="clear" w:color="auto" w:fill="auto"/>
          </w:tcPr>
          <w:p w14:paraId="3B42B34D" w14:textId="77777777" w:rsidR="00120C8A" w:rsidRPr="007F1252" w:rsidRDefault="00120C8A" w:rsidP="00120C8A">
            <w:pPr>
              <w:autoSpaceDE w:val="0"/>
              <w:autoSpaceDN w:val="0"/>
              <w:adjustRightInd w:val="0"/>
              <w:spacing w:after="120"/>
              <w:jc w:val="both"/>
              <w:rPr>
                <w:rFonts w:asciiTheme="minorHAnsi" w:hAnsiTheme="minorHAnsi" w:cstheme="minorHAnsi"/>
                <w:color w:val="000000" w:themeColor="text1"/>
                <w:sz w:val="22"/>
                <w:szCs w:val="22"/>
              </w:rPr>
            </w:pPr>
            <w:bookmarkStart w:id="1" w:name="_Hlk72932601"/>
            <w:r w:rsidRPr="007F1252">
              <w:rPr>
                <w:rFonts w:asciiTheme="minorHAnsi" w:hAnsiTheme="minorHAnsi" w:cstheme="minorHAnsi"/>
                <w:color w:val="000000" w:themeColor="text1"/>
                <w:sz w:val="22"/>
                <w:szCs w:val="22"/>
              </w:rPr>
              <w:t xml:space="preserve">Rada doporučuje zvážit předložení OP TAK Komisi pro problematiku klimatu, která byla ustavena Radou na svém 347. zasedání dne 28. června 2019 jako svůj odborný a poradní orgán podle § 35 odst. 7 písm. b) zákona č. 130/2002 Sb. </w:t>
            </w:r>
          </w:p>
          <w:p w14:paraId="08E55F6D" w14:textId="77777777" w:rsidR="00120C8A" w:rsidRPr="007F1252" w:rsidRDefault="00120C8A" w:rsidP="00120C8A">
            <w:pPr>
              <w:autoSpaceDE w:val="0"/>
              <w:autoSpaceDN w:val="0"/>
              <w:adjustRightInd w:val="0"/>
              <w:spacing w:after="120"/>
              <w:jc w:val="both"/>
              <w:rPr>
                <w:rFonts w:asciiTheme="minorHAnsi" w:hAnsiTheme="minorHAnsi" w:cstheme="minorHAnsi"/>
                <w:color w:val="000000" w:themeColor="text1"/>
                <w:sz w:val="22"/>
                <w:szCs w:val="22"/>
              </w:rPr>
            </w:pPr>
            <w:r w:rsidRPr="007F1252">
              <w:rPr>
                <w:rFonts w:asciiTheme="minorHAnsi" w:hAnsiTheme="minorHAnsi" w:cstheme="minorHAnsi"/>
                <w:color w:val="000000" w:themeColor="text1"/>
                <w:sz w:val="22"/>
                <w:szCs w:val="22"/>
              </w:rPr>
              <w:t>Zdůvodnění:</w:t>
            </w:r>
          </w:p>
          <w:p w14:paraId="628A92E4" w14:textId="77777777" w:rsidR="00120C8A" w:rsidRPr="007F1252" w:rsidRDefault="00120C8A" w:rsidP="00120C8A">
            <w:pPr>
              <w:autoSpaceDE w:val="0"/>
              <w:autoSpaceDN w:val="0"/>
              <w:adjustRightInd w:val="0"/>
              <w:spacing w:after="120"/>
              <w:jc w:val="both"/>
              <w:rPr>
                <w:rFonts w:asciiTheme="minorHAnsi" w:hAnsiTheme="minorHAnsi" w:cstheme="minorHAnsi"/>
                <w:color w:val="000000" w:themeColor="text1"/>
                <w:sz w:val="22"/>
                <w:szCs w:val="22"/>
              </w:rPr>
            </w:pPr>
            <w:r w:rsidRPr="007F1252">
              <w:rPr>
                <w:rFonts w:asciiTheme="minorHAnsi" w:hAnsiTheme="minorHAnsi" w:cstheme="minorHAnsi"/>
                <w:color w:val="000000" w:themeColor="text1"/>
                <w:sz w:val="22"/>
                <w:szCs w:val="22"/>
              </w:rPr>
              <w:t xml:space="preserve">Řada aktivit se dílčím způsobem týká klimatu. Je např. poněkud zarážející, že se v podpoře průmyslu mluví o potřebě šetření vodou, ale v energetice, která je násobně větším spotřebitelem vody, toto podporování není. Do dokumentu bylo všude, kde je zmínka o skleníkových plynech, doplněn oxid uhličitý, což je nepřijatelné – řada provozů produkuje další skleníkové plyny, jejichž emise mají být sníženy – proto je např. třeba uvádět CO2 </w:t>
            </w:r>
            <w:proofErr w:type="spellStart"/>
            <w:r w:rsidRPr="007F1252">
              <w:rPr>
                <w:rFonts w:asciiTheme="minorHAnsi" w:hAnsiTheme="minorHAnsi" w:cstheme="minorHAnsi"/>
                <w:color w:val="000000" w:themeColor="text1"/>
                <w:sz w:val="22"/>
                <w:szCs w:val="22"/>
              </w:rPr>
              <w:t>ekv</w:t>
            </w:r>
            <w:proofErr w:type="spellEnd"/>
            <w:r w:rsidRPr="007F1252">
              <w:rPr>
                <w:rFonts w:asciiTheme="minorHAnsi" w:hAnsiTheme="minorHAnsi" w:cstheme="minorHAnsi"/>
                <w:color w:val="000000" w:themeColor="text1"/>
                <w:sz w:val="22"/>
                <w:szCs w:val="22"/>
              </w:rPr>
              <w:t>. Dále: očekává se snížení energetické náročnosti na 5000 GJ/</w:t>
            </w:r>
            <w:proofErr w:type="spellStart"/>
            <w:r w:rsidRPr="007F1252">
              <w:rPr>
                <w:rFonts w:asciiTheme="minorHAnsi" w:hAnsiTheme="minorHAnsi" w:cstheme="minorHAnsi"/>
                <w:color w:val="000000" w:themeColor="text1"/>
                <w:sz w:val="22"/>
                <w:szCs w:val="22"/>
              </w:rPr>
              <w:t>mil.euro</w:t>
            </w:r>
            <w:proofErr w:type="spellEnd"/>
            <w:r w:rsidRPr="007F1252">
              <w:rPr>
                <w:rFonts w:asciiTheme="minorHAnsi" w:hAnsiTheme="minorHAnsi" w:cstheme="minorHAnsi"/>
                <w:color w:val="000000" w:themeColor="text1"/>
                <w:sz w:val="22"/>
                <w:szCs w:val="22"/>
              </w:rPr>
              <w:t xml:space="preserve"> HDP, tedy evropský průměr, když u nás je 10 tisíc GJ/mil. euro HDP, podpora je přitom primárně orientována do průmyslu místo služeb, tím je tento cíl zcela nereálný. Jen těchto několik připomínek indikuje, že autoři OP TAK nemají celkovou představu cíle/vize rozvoje hospodářství ČR, která by měla být intenzivně diskutována.</w:t>
            </w:r>
          </w:p>
          <w:p w14:paraId="2CD6C3A4" w14:textId="03ABDE5B" w:rsidR="00120C8A" w:rsidRPr="007F1252" w:rsidRDefault="00120C8A" w:rsidP="00120C8A">
            <w:pPr>
              <w:autoSpaceDE w:val="0"/>
              <w:autoSpaceDN w:val="0"/>
              <w:adjustRightInd w:val="0"/>
              <w:spacing w:after="120"/>
              <w:jc w:val="both"/>
              <w:rPr>
                <w:rFonts w:asciiTheme="minorHAnsi" w:hAnsiTheme="minorHAnsi" w:cstheme="minorHAnsi"/>
                <w:color w:val="000000" w:themeColor="text1"/>
                <w:sz w:val="22"/>
                <w:szCs w:val="22"/>
              </w:rPr>
            </w:pPr>
            <w:r w:rsidRPr="007F1252">
              <w:rPr>
                <w:rFonts w:asciiTheme="minorHAnsi" w:hAnsiTheme="minorHAnsi" w:cstheme="minorHAnsi"/>
                <w:color w:val="000000" w:themeColor="text1"/>
                <w:sz w:val="22"/>
                <w:szCs w:val="22"/>
              </w:rPr>
              <w:t xml:space="preserve">OP TAK je orientován na podporu prvků místo ucelených řešení – týká se do chytré mobility, energetiky, materiálů – bohužel dílčími řešeními, i když drobně inovativními, těžko budeme </w:t>
            </w:r>
            <w:r w:rsidRPr="007F1252">
              <w:rPr>
                <w:rFonts w:asciiTheme="minorHAnsi" w:hAnsiTheme="minorHAnsi" w:cstheme="minorHAnsi"/>
                <w:color w:val="000000" w:themeColor="text1"/>
                <w:sz w:val="22"/>
                <w:szCs w:val="22"/>
              </w:rPr>
              <w:lastRenderedPageBreak/>
              <w:t>dosahovat svých evropských závazků, a to jak v energetice, tak v ochraně klimatu a dalších oblastech (např. SC 4.1, SC 4.4, SC 5.1).</w:t>
            </w:r>
            <w:bookmarkEnd w:id="1"/>
          </w:p>
        </w:tc>
        <w:tc>
          <w:tcPr>
            <w:tcW w:w="5670" w:type="dxa"/>
            <w:shd w:val="clear" w:color="auto" w:fill="auto"/>
          </w:tcPr>
          <w:p w14:paraId="6450369A" w14:textId="7D22C52E" w:rsidR="009B5522" w:rsidRPr="007F1252" w:rsidRDefault="00C50FAC" w:rsidP="00733D12">
            <w:pPr>
              <w:spacing w:line="264" w:lineRule="auto"/>
              <w:jc w:val="both"/>
              <w:rPr>
                <w:rFonts w:asciiTheme="minorHAnsi" w:hAnsiTheme="minorHAnsi" w:cstheme="minorHAnsi"/>
                <w:b/>
                <w:bCs/>
                <w:color w:val="000000" w:themeColor="text1"/>
                <w:sz w:val="22"/>
                <w:szCs w:val="22"/>
              </w:rPr>
            </w:pPr>
            <w:r w:rsidRPr="007F1252">
              <w:rPr>
                <w:rFonts w:asciiTheme="minorHAnsi" w:hAnsiTheme="minorHAnsi" w:cstheme="minorHAnsi"/>
                <w:b/>
                <w:bCs/>
                <w:color w:val="000000" w:themeColor="text1"/>
                <w:sz w:val="22"/>
                <w:szCs w:val="22"/>
              </w:rPr>
              <w:lastRenderedPageBreak/>
              <w:t>Ne</w:t>
            </w:r>
            <w:r w:rsidR="00DD1EE9" w:rsidRPr="007F1252">
              <w:rPr>
                <w:rFonts w:asciiTheme="minorHAnsi" w:hAnsiTheme="minorHAnsi" w:cstheme="minorHAnsi"/>
                <w:b/>
                <w:bCs/>
                <w:color w:val="000000" w:themeColor="text1"/>
                <w:sz w:val="22"/>
                <w:szCs w:val="22"/>
              </w:rPr>
              <w:t>akceptováno</w:t>
            </w:r>
            <w:r w:rsidR="009B5522" w:rsidRPr="007F1252">
              <w:rPr>
                <w:rFonts w:asciiTheme="minorHAnsi" w:hAnsiTheme="minorHAnsi" w:cstheme="minorHAnsi"/>
                <w:b/>
                <w:bCs/>
                <w:color w:val="000000" w:themeColor="text1"/>
                <w:sz w:val="22"/>
                <w:szCs w:val="22"/>
              </w:rPr>
              <w:t>.</w:t>
            </w:r>
          </w:p>
          <w:p w14:paraId="670DF792" w14:textId="58108160" w:rsidR="00DD1EE9" w:rsidRPr="007F1252" w:rsidRDefault="00DD1EE9" w:rsidP="00733D12">
            <w:pPr>
              <w:spacing w:line="264" w:lineRule="auto"/>
              <w:jc w:val="both"/>
              <w:rPr>
                <w:rFonts w:asciiTheme="minorHAnsi" w:hAnsiTheme="minorHAnsi" w:cstheme="minorHAnsi"/>
                <w:bCs/>
                <w:color w:val="000000" w:themeColor="text1"/>
                <w:sz w:val="22"/>
                <w:szCs w:val="22"/>
              </w:rPr>
            </w:pPr>
            <w:r w:rsidRPr="007F1252">
              <w:rPr>
                <w:rFonts w:asciiTheme="minorHAnsi" w:hAnsiTheme="minorHAnsi" w:cstheme="minorHAnsi"/>
                <w:bCs/>
                <w:color w:val="000000" w:themeColor="text1"/>
                <w:sz w:val="22"/>
                <w:szCs w:val="22"/>
              </w:rPr>
              <w:t>Problematika klima je v rámci vyjednávání detailně řešena s EK, předložení programového dokumentu OP TAK Komisi pro problematiku klimatu není plánováno.</w:t>
            </w:r>
          </w:p>
          <w:p w14:paraId="73FDB59F" w14:textId="39F37145" w:rsidR="006C3209" w:rsidRPr="007F1252" w:rsidRDefault="00B97E60" w:rsidP="00733D12">
            <w:pPr>
              <w:spacing w:line="264" w:lineRule="auto"/>
              <w:jc w:val="both"/>
              <w:rPr>
                <w:rFonts w:asciiTheme="minorHAnsi" w:hAnsiTheme="minorHAnsi" w:cstheme="minorHAnsi"/>
                <w:bCs/>
                <w:color w:val="000000" w:themeColor="text1"/>
                <w:sz w:val="22"/>
                <w:szCs w:val="22"/>
              </w:rPr>
            </w:pPr>
            <w:r w:rsidRPr="007F1252">
              <w:rPr>
                <w:rFonts w:asciiTheme="minorHAnsi" w:hAnsiTheme="minorHAnsi" w:cstheme="minorHAnsi"/>
                <w:bCs/>
                <w:color w:val="000000" w:themeColor="text1"/>
                <w:sz w:val="22"/>
                <w:szCs w:val="22"/>
              </w:rPr>
              <w:t xml:space="preserve">Zároveň není zřejmé, z jakého důvodu „zdůvodnění“ pomíjí některé informace </w:t>
            </w:r>
            <w:r w:rsidR="006C3209" w:rsidRPr="007F1252">
              <w:rPr>
                <w:rFonts w:asciiTheme="minorHAnsi" w:hAnsiTheme="minorHAnsi" w:cstheme="minorHAnsi"/>
                <w:bCs/>
                <w:color w:val="000000" w:themeColor="text1"/>
                <w:sz w:val="22"/>
                <w:szCs w:val="22"/>
              </w:rPr>
              <w:t>explicitně uvedené v programovém dokumentu OP TAK.</w:t>
            </w:r>
          </w:p>
          <w:p w14:paraId="36C0D661" w14:textId="133AC955" w:rsidR="00F75133" w:rsidRPr="007F1252" w:rsidRDefault="00C50FAC" w:rsidP="00F75133">
            <w:pPr>
              <w:jc w:val="both"/>
              <w:rPr>
                <w:rFonts w:asciiTheme="minorHAnsi" w:hAnsiTheme="minorHAnsi" w:cstheme="minorHAnsi"/>
                <w:color w:val="000000" w:themeColor="text1"/>
                <w:sz w:val="22"/>
                <w:szCs w:val="22"/>
                <w:lang w:eastAsia="en-US"/>
              </w:rPr>
            </w:pPr>
            <w:r w:rsidRPr="007F1252">
              <w:rPr>
                <w:rFonts w:asciiTheme="minorHAnsi" w:hAnsiTheme="minorHAnsi" w:cstheme="minorHAnsi"/>
                <w:bCs/>
                <w:color w:val="000000" w:themeColor="text1"/>
                <w:sz w:val="22"/>
                <w:szCs w:val="22"/>
              </w:rPr>
              <w:t xml:space="preserve">Konkrétně: </w:t>
            </w:r>
            <w:r w:rsidR="00B97E60" w:rsidRPr="007F1252">
              <w:rPr>
                <w:rFonts w:asciiTheme="minorHAnsi" w:hAnsiTheme="minorHAnsi" w:cstheme="minorHAnsi"/>
                <w:bCs/>
                <w:color w:val="000000" w:themeColor="text1"/>
                <w:sz w:val="22"/>
                <w:szCs w:val="22"/>
              </w:rPr>
              <w:t xml:space="preserve">SC5.1 řeší problematiku vody nejen v průmyslu, ale i v energetice (viz např. </w:t>
            </w:r>
            <w:r w:rsidR="00B97E60" w:rsidRPr="007F1252">
              <w:rPr>
                <w:rFonts w:asciiTheme="minorHAnsi" w:hAnsiTheme="minorHAnsi" w:cstheme="minorHAnsi"/>
                <w:bCs/>
                <w:i/>
                <w:color w:val="000000" w:themeColor="text1"/>
                <w:sz w:val="22"/>
                <w:szCs w:val="22"/>
              </w:rPr>
              <w:t>Výsledkem intervencí by měly být přínosy ve formě snížení množství dodávaných vod pro potřeby průmyslu a energetiky, a tím zlepšení trvale udržitelného hospodaření s vodou a optimalizace spotřeby vody v průmyslu a energetice</w:t>
            </w:r>
            <w:r w:rsidR="00B97E60" w:rsidRPr="007F1252">
              <w:rPr>
                <w:rFonts w:asciiTheme="minorHAnsi" w:hAnsiTheme="minorHAnsi" w:cstheme="minorHAnsi"/>
                <w:bCs/>
                <w:color w:val="000000" w:themeColor="text1"/>
                <w:sz w:val="22"/>
                <w:szCs w:val="22"/>
              </w:rPr>
              <w:t xml:space="preserve"> či </w:t>
            </w:r>
            <w:r w:rsidR="00B97E60" w:rsidRPr="007F1252">
              <w:rPr>
                <w:rFonts w:asciiTheme="minorHAnsi" w:eastAsiaTheme="majorEastAsia" w:hAnsiTheme="minorHAnsi" w:cstheme="minorHAnsi"/>
                <w:i/>
                <w:color w:val="000000" w:themeColor="text1"/>
                <w:sz w:val="22"/>
                <w:szCs w:val="22"/>
                <w:u w:val="single"/>
              </w:rPr>
              <w:t>Příjemci podpory</w:t>
            </w:r>
            <w:r w:rsidR="00B97E60" w:rsidRPr="007F1252">
              <w:rPr>
                <w:rFonts w:asciiTheme="minorHAnsi" w:hAnsiTheme="minorHAnsi" w:cstheme="minorHAnsi"/>
                <w:i/>
                <w:color w:val="000000" w:themeColor="text1"/>
                <w:sz w:val="22"/>
                <w:szCs w:val="22"/>
                <w:u w:val="single"/>
              </w:rPr>
              <w:t>:</w:t>
            </w:r>
            <w:r w:rsidR="00B97E60" w:rsidRPr="007F1252">
              <w:rPr>
                <w:rFonts w:asciiTheme="minorHAnsi" w:hAnsiTheme="minorHAnsi" w:cstheme="minorHAnsi"/>
                <w:i/>
                <w:color w:val="000000" w:themeColor="text1"/>
                <w:sz w:val="22"/>
                <w:szCs w:val="22"/>
              </w:rPr>
              <w:t xml:space="preserve"> podnikatelské subjekty (malé a střední podniky, velké podniky), a to zejména průmyslové podniky či výrobci energie s potřebou zajistit trvale udržitelné hospodaření s vodou a optimalizaci spotřeby vody v průmyslu a energetice.</w:t>
            </w:r>
            <w:r w:rsidR="00F75133" w:rsidRPr="007F1252">
              <w:rPr>
                <w:rFonts w:asciiTheme="minorHAnsi" w:hAnsiTheme="minorHAnsi" w:cstheme="minorHAnsi"/>
                <w:color w:val="000000" w:themeColor="text1"/>
                <w:sz w:val="22"/>
                <w:szCs w:val="22"/>
              </w:rPr>
              <w:t xml:space="preserve"> Dále lze uvést, že </w:t>
            </w:r>
            <w:r w:rsidR="00F75133" w:rsidRPr="007F1252">
              <w:rPr>
                <w:rFonts w:asciiTheme="minorHAnsi" w:hAnsiTheme="minorHAnsi" w:cstheme="minorHAnsi"/>
                <w:color w:val="000000" w:themeColor="text1"/>
                <w:sz w:val="22"/>
                <w:szCs w:val="22"/>
                <w:lang w:eastAsia="en-US"/>
              </w:rPr>
              <w:t>např. aktivita „</w:t>
            </w:r>
            <w:r w:rsidR="00F75133" w:rsidRPr="007F1252">
              <w:rPr>
                <w:rStyle w:val="normaltextrun"/>
                <w:rFonts w:asciiTheme="minorHAnsi" w:hAnsiTheme="minorHAnsi" w:cstheme="minorHAnsi"/>
                <w:color w:val="000000" w:themeColor="text1"/>
                <w:sz w:val="22"/>
                <w:szCs w:val="22"/>
                <w:shd w:val="clear" w:color="auto" w:fill="FFFFFF"/>
              </w:rPr>
              <w:t xml:space="preserve">Optimalizace technologie chlazení (náhrada otevřených chladicích věží se skrápěním adiabatickým chlazením)“ je ze své povahy přímo zaměřená </w:t>
            </w:r>
            <w:r w:rsidR="00F75133" w:rsidRPr="007F1252">
              <w:rPr>
                <w:rFonts w:asciiTheme="minorHAnsi" w:hAnsiTheme="minorHAnsi" w:cstheme="minorHAnsi"/>
                <w:color w:val="000000" w:themeColor="text1"/>
                <w:sz w:val="22"/>
                <w:szCs w:val="22"/>
                <w:lang w:eastAsia="en-US"/>
              </w:rPr>
              <w:t>na energetiku.</w:t>
            </w:r>
          </w:p>
          <w:p w14:paraId="591D38D0" w14:textId="13D624F0" w:rsidR="00B97E60" w:rsidRPr="007F1252" w:rsidRDefault="00B97E60" w:rsidP="00733D12">
            <w:pPr>
              <w:spacing w:line="264" w:lineRule="auto"/>
              <w:jc w:val="both"/>
              <w:rPr>
                <w:rFonts w:asciiTheme="minorHAnsi" w:hAnsiTheme="minorHAnsi" w:cstheme="minorHAnsi"/>
                <w:color w:val="000000" w:themeColor="text1"/>
                <w:sz w:val="22"/>
                <w:szCs w:val="22"/>
              </w:rPr>
            </w:pPr>
          </w:p>
          <w:p w14:paraId="2C2F7710" w14:textId="33F75F4E" w:rsidR="00264AFC" w:rsidRPr="007F1252" w:rsidRDefault="006C3209" w:rsidP="00733D12">
            <w:pPr>
              <w:spacing w:line="264" w:lineRule="auto"/>
              <w:jc w:val="both"/>
              <w:rPr>
                <w:rFonts w:asciiTheme="minorHAnsi" w:hAnsiTheme="minorHAnsi" w:cstheme="minorHAnsi"/>
                <w:color w:val="000000" w:themeColor="text1"/>
                <w:sz w:val="22"/>
                <w:szCs w:val="22"/>
              </w:rPr>
            </w:pPr>
            <w:r w:rsidRPr="007F1252">
              <w:rPr>
                <w:rFonts w:asciiTheme="minorHAnsi" w:hAnsiTheme="minorHAnsi" w:cstheme="minorHAnsi"/>
                <w:color w:val="000000" w:themeColor="text1"/>
                <w:sz w:val="22"/>
                <w:szCs w:val="22"/>
              </w:rPr>
              <w:t xml:space="preserve">Zároveň je podpora z OP TAK logicky primárně orientována na průmysl, jelikož jeho energetická náročnost, tj. podíl spotřebované energie na vytvořený HNP, je jedna z nejvyšších v EU. OP TAK se rovněž orientuje na sektor služeb, což je napříč programovým dokumentem na řadě míst zdůrazňováno. </w:t>
            </w:r>
          </w:p>
          <w:p w14:paraId="070B75BA" w14:textId="77777777" w:rsidR="006350D2" w:rsidRDefault="006350D2" w:rsidP="006350D2">
            <w:pPr>
              <w:pStyle w:val="Normlnweb"/>
              <w:spacing w:before="0" w:beforeAutospacing="0" w:after="0" w:afterAutospacing="0" w:line="264" w:lineRule="auto"/>
              <w:jc w:val="both"/>
              <w:rPr>
                <w:rFonts w:asciiTheme="minorHAnsi" w:hAnsiTheme="minorHAnsi" w:cstheme="minorHAnsi"/>
                <w:color w:val="000000" w:themeColor="text1"/>
                <w:sz w:val="22"/>
                <w:szCs w:val="22"/>
              </w:rPr>
            </w:pPr>
            <w:r w:rsidRPr="007F1252">
              <w:rPr>
                <w:rFonts w:asciiTheme="minorHAnsi" w:hAnsiTheme="minorHAnsi" w:cstheme="minorHAnsi"/>
                <w:color w:val="000000" w:themeColor="text1"/>
                <w:sz w:val="22"/>
                <w:szCs w:val="22"/>
              </w:rPr>
              <w:lastRenderedPageBreak/>
              <w:t xml:space="preserve">Ohledně skleníkových plynů a CO2 </w:t>
            </w:r>
            <w:proofErr w:type="spellStart"/>
            <w:r w:rsidRPr="007F1252">
              <w:rPr>
                <w:rFonts w:asciiTheme="minorHAnsi" w:hAnsiTheme="minorHAnsi" w:cstheme="minorHAnsi"/>
                <w:color w:val="000000" w:themeColor="text1"/>
                <w:sz w:val="22"/>
                <w:szCs w:val="22"/>
              </w:rPr>
              <w:t>ekv</w:t>
            </w:r>
            <w:proofErr w:type="spellEnd"/>
            <w:r w:rsidRPr="007F1252">
              <w:rPr>
                <w:rFonts w:asciiTheme="minorHAnsi" w:hAnsiTheme="minorHAnsi" w:cstheme="minorHAnsi"/>
                <w:color w:val="000000" w:themeColor="text1"/>
                <w:sz w:val="22"/>
                <w:szCs w:val="22"/>
              </w:rPr>
              <w:t xml:space="preserve">. lze souhlasit, že např. v rámci národní inventarizace skleníkových plynů se přepočítává na CO2 ekvivalent, tj. metan. oxid dusný, SF6, freony atd. </w:t>
            </w:r>
          </w:p>
          <w:p w14:paraId="5DB02521" w14:textId="77777777" w:rsidR="006350D2" w:rsidRPr="00EC1065" w:rsidRDefault="006350D2" w:rsidP="006350D2">
            <w:pPr>
              <w:spacing w:line="264" w:lineRule="auto"/>
              <w:jc w:val="both"/>
              <w:rPr>
                <w:rFonts w:asciiTheme="minorHAnsi" w:hAnsiTheme="minorHAnsi" w:cstheme="minorHAnsi"/>
                <w:color w:val="000000" w:themeColor="text1"/>
                <w:sz w:val="22"/>
                <w:szCs w:val="22"/>
                <w:lang w:eastAsia="en-US"/>
              </w:rPr>
            </w:pPr>
            <w:r>
              <w:rPr>
                <w:rFonts w:asciiTheme="minorHAnsi" w:hAnsiTheme="minorHAnsi" w:cstheme="minorHAnsi"/>
                <w:color w:val="000000" w:themeColor="text1"/>
                <w:sz w:val="22"/>
                <w:szCs w:val="22"/>
              </w:rPr>
              <w:t>Zohledněno u SC4.1 a SC4.2 OP TAK. Zároveň d</w:t>
            </w:r>
            <w:r w:rsidRPr="00CC61B2">
              <w:rPr>
                <w:rFonts w:asciiTheme="minorHAnsi" w:hAnsiTheme="minorHAnsi" w:cstheme="minorHAnsi"/>
                <w:color w:val="000000" w:themeColor="text1"/>
                <w:sz w:val="22"/>
                <w:szCs w:val="22"/>
              </w:rPr>
              <w:t>oporučujeme pozornosti tabulky s ukazateli OP TAK</w:t>
            </w:r>
            <w:r>
              <w:rPr>
                <w:rFonts w:asciiTheme="minorHAnsi" w:hAnsiTheme="minorHAnsi" w:cstheme="minorHAnsi"/>
                <w:color w:val="000000" w:themeColor="text1"/>
                <w:sz w:val="22"/>
                <w:szCs w:val="22"/>
              </w:rPr>
              <w:t xml:space="preserve"> u těchto SC</w:t>
            </w:r>
            <w:r w:rsidRPr="00CC61B2">
              <w:rPr>
                <w:rFonts w:asciiTheme="minorHAnsi" w:hAnsiTheme="minorHAnsi" w:cstheme="minorHAnsi"/>
                <w:color w:val="000000" w:themeColor="text1"/>
                <w:sz w:val="22"/>
                <w:szCs w:val="22"/>
              </w:rPr>
              <w:t xml:space="preserve">, které, je-li to relevantní, sledují indikátor </w:t>
            </w:r>
            <w:proofErr w:type="gramStart"/>
            <w:r w:rsidRPr="00CC61B2">
              <w:rPr>
                <w:rFonts w:asciiTheme="minorHAnsi" w:hAnsiTheme="minorHAnsi" w:cstheme="minorHAnsi"/>
                <w:color w:val="000000" w:themeColor="text1"/>
                <w:sz w:val="22"/>
                <w:szCs w:val="22"/>
              </w:rPr>
              <w:t>RCR29 - Tuny</w:t>
            </w:r>
            <w:proofErr w:type="gramEnd"/>
            <w:r w:rsidRPr="00CC61B2">
              <w:rPr>
                <w:rFonts w:asciiTheme="minorHAnsi" w:hAnsiTheme="minorHAnsi" w:cstheme="minorHAnsi"/>
                <w:color w:val="000000" w:themeColor="text1"/>
                <w:sz w:val="22"/>
                <w:szCs w:val="22"/>
              </w:rPr>
              <w:t xml:space="preserve"> ekvivalentu CO</w:t>
            </w:r>
            <w:r w:rsidRPr="00CC61B2">
              <w:rPr>
                <w:rFonts w:asciiTheme="minorHAnsi" w:hAnsiTheme="minorHAnsi" w:cstheme="minorHAnsi"/>
                <w:color w:val="000000" w:themeColor="text1"/>
                <w:sz w:val="22"/>
                <w:szCs w:val="22"/>
                <w:vertAlign w:val="subscript"/>
              </w:rPr>
              <w:t>2</w:t>
            </w:r>
            <w:r w:rsidRPr="00CC61B2">
              <w:rPr>
                <w:rFonts w:asciiTheme="minorHAnsi" w:hAnsiTheme="minorHAnsi" w:cstheme="minorHAnsi"/>
                <w:color w:val="000000" w:themeColor="text1"/>
                <w:sz w:val="22"/>
                <w:szCs w:val="22"/>
              </w:rPr>
              <w:t>/rok.</w:t>
            </w:r>
          </w:p>
          <w:p w14:paraId="40226E11" w14:textId="77777777" w:rsidR="006350D2" w:rsidRDefault="006350D2" w:rsidP="006350D2">
            <w:pPr>
              <w:spacing w:line="264" w:lineRule="auto"/>
              <w:jc w:val="both"/>
              <w:rPr>
                <w:rFonts w:asciiTheme="minorHAnsi" w:hAnsiTheme="minorHAnsi" w:cstheme="minorHAnsi"/>
                <w:color w:val="000000" w:themeColor="text1"/>
                <w:sz w:val="22"/>
                <w:szCs w:val="22"/>
                <w:lang w:eastAsia="en-US"/>
              </w:rPr>
            </w:pPr>
            <w:r w:rsidRPr="00CC61B2">
              <w:rPr>
                <w:rFonts w:asciiTheme="minorHAnsi" w:hAnsiTheme="minorHAnsi" w:cstheme="minorHAnsi"/>
                <w:color w:val="000000" w:themeColor="text1"/>
                <w:sz w:val="22"/>
                <w:szCs w:val="22"/>
                <w:lang w:eastAsia="en-US"/>
              </w:rPr>
              <w:t xml:space="preserve">U </w:t>
            </w:r>
            <w:r>
              <w:rPr>
                <w:rFonts w:asciiTheme="minorHAnsi" w:hAnsiTheme="minorHAnsi" w:cstheme="minorHAnsi"/>
                <w:color w:val="000000" w:themeColor="text1"/>
                <w:sz w:val="22"/>
                <w:szCs w:val="22"/>
                <w:lang w:eastAsia="en-US"/>
              </w:rPr>
              <w:t xml:space="preserve">SC4.4 - </w:t>
            </w:r>
            <w:r w:rsidRPr="00CC61B2">
              <w:rPr>
                <w:rFonts w:asciiTheme="minorHAnsi" w:hAnsiTheme="minorHAnsi" w:cstheme="minorHAnsi"/>
                <w:color w:val="000000" w:themeColor="text1"/>
                <w:sz w:val="22"/>
                <w:szCs w:val="22"/>
                <w:lang w:eastAsia="en-US"/>
              </w:rPr>
              <w:t xml:space="preserve">čisté mobility </w:t>
            </w:r>
            <w:r>
              <w:rPr>
                <w:rFonts w:asciiTheme="minorHAnsi" w:hAnsiTheme="minorHAnsi" w:cstheme="minorHAnsi"/>
                <w:color w:val="000000" w:themeColor="text1"/>
                <w:sz w:val="22"/>
                <w:szCs w:val="22"/>
                <w:lang w:eastAsia="en-US"/>
              </w:rPr>
              <w:t>je potřeba</w:t>
            </w:r>
            <w:r w:rsidRPr="00CC61B2">
              <w:rPr>
                <w:rFonts w:asciiTheme="minorHAnsi" w:hAnsiTheme="minorHAnsi" w:cstheme="minorHAnsi"/>
                <w:color w:val="000000" w:themeColor="text1"/>
                <w:sz w:val="22"/>
                <w:szCs w:val="22"/>
                <w:lang w:eastAsia="en-US"/>
              </w:rPr>
              <w:t xml:space="preserve"> uvést, že definice čistého vozidla je dle produkce </w:t>
            </w:r>
            <w:proofErr w:type="gramStart"/>
            <w:r w:rsidRPr="00CC61B2">
              <w:rPr>
                <w:rFonts w:asciiTheme="minorHAnsi" w:hAnsiTheme="minorHAnsi" w:cstheme="minorHAnsi"/>
                <w:color w:val="000000" w:themeColor="text1"/>
                <w:sz w:val="22"/>
                <w:szCs w:val="22"/>
                <w:lang w:eastAsia="en-US"/>
              </w:rPr>
              <w:t>CO2 - Čisté</w:t>
            </w:r>
            <w:proofErr w:type="gramEnd"/>
            <w:r w:rsidRPr="00CC61B2">
              <w:rPr>
                <w:rFonts w:asciiTheme="minorHAnsi" w:hAnsiTheme="minorHAnsi" w:cstheme="minorHAnsi"/>
                <w:color w:val="000000" w:themeColor="text1"/>
                <w:sz w:val="22"/>
                <w:szCs w:val="22"/>
                <w:lang w:eastAsia="en-US"/>
              </w:rPr>
              <w:t xml:space="preserve"> vozidlo je nyní s produkci CO2  50 g na ujetý km, tam a po roce 2025 s nulovou produkcí CO2. Ekvivalent CO2 se nikde u </w:t>
            </w:r>
            <w:r>
              <w:rPr>
                <w:rFonts w:asciiTheme="minorHAnsi" w:hAnsiTheme="minorHAnsi" w:cstheme="minorHAnsi"/>
                <w:color w:val="000000" w:themeColor="text1"/>
                <w:sz w:val="22"/>
                <w:szCs w:val="22"/>
                <w:lang w:eastAsia="en-US"/>
              </w:rPr>
              <w:t>vozidel</w:t>
            </w:r>
            <w:r w:rsidRPr="00CC61B2">
              <w:rPr>
                <w:rFonts w:asciiTheme="minorHAnsi" w:hAnsiTheme="minorHAnsi" w:cstheme="minorHAnsi"/>
                <w:color w:val="000000" w:themeColor="text1"/>
                <w:sz w:val="22"/>
                <w:szCs w:val="22"/>
                <w:lang w:eastAsia="en-US"/>
              </w:rPr>
              <w:t xml:space="preserve"> neuvádí. </w:t>
            </w:r>
          </w:p>
          <w:p w14:paraId="7FBA0BD7" w14:textId="4B8B755E" w:rsidR="006C3209" w:rsidRPr="007F1252" w:rsidRDefault="006C3209" w:rsidP="006350D2">
            <w:pPr>
              <w:spacing w:line="264" w:lineRule="auto"/>
              <w:jc w:val="both"/>
              <w:rPr>
                <w:rFonts w:asciiTheme="minorHAnsi" w:hAnsiTheme="minorHAnsi" w:cstheme="minorHAnsi"/>
                <w:bCs/>
                <w:color w:val="000000" w:themeColor="text1"/>
                <w:sz w:val="22"/>
                <w:szCs w:val="22"/>
              </w:rPr>
            </w:pPr>
            <w:r w:rsidRPr="00CC61B2">
              <w:rPr>
                <w:rFonts w:asciiTheme="minorHAnsi" w:hAnsiTheme="minorHAnsi" w:cstheme="minorHAnsi"/>
                <w:color w:val="000000" w:themeColor="text1"/>
                <w:sz w:val="22"/>
                <w:szCs w:val="22"/>
              </w:rPr>
              <w:t>V neposlední řadě je potřeba vzít v potaz, že dosažení snížení energetické náročnosti na 5000 GJ/mil. euro HDP nebude realizováno pouze výhradně prostřednictvím OP TAK</w:t>
            </w:r>
            <w:r w:rsidR="00FD5514" w:rsidRPr="00CC61B2">
              <w:rPr>
                <w:rFonts w:asciiTheme="minorHAnsi" w:hAnsiTheme="minorHAnsi" w:cstheme="minorHAnsi"/>
                <w:color w:val="000000" w:themeColor="text1"/>
                <w:sz w:val="22"/>
                <w:szCs w:val="22"/>
              </w:rPr>
              <w:t xml:space="preserve"> (kvantifikace za OP TAK viz část „Ukazatele“)</w:t>
            </w:r>
            <w:r w:rsidRPr="00CC61B2">
              <w:rPr>
                <w:rFonts w:asciiTheme="minorHAnsi" w:hAnsiTheme="minorHAnsi" w:cstheme="minorHAnsi"/>
                <w:color w:val="000000" w:themeColor="text1"/>
                <w:sz w:val="22"/>
                <w:szCs w:val="22"/>
              </w:rPr>
              <w:t xml:space="preserve">, je zde např. </w:t>
            </w:r>
            <w:r w:rsidR="00C50FAC" w:rsidRPr="00CC61B2">
              <w:rPr>
                <w:rFonts w:asciiTheme="minorHAnsi" w:hAnsiTheme="minorHAnsi" w:cstheme="minorHAnsi"/>
                <w:color w:val="000000" w:themeColor="text1"/>
                <w:sz w:val="22"/>
                <w:szCs w:val="22"/>
              </w:rPr>
              <w:t xml:space="preserve">primárně </w:t>
            </w:r>
            <w:r w:rsidRPr="00CC61B2">
              <w:rPr>
                <w:rFonts w:asciiTheme="minorHAnsi" w:hAnsiTheme="minorHAnsi" w:cstheme="minorHAnsi"/>
                <w:color w:val="000000" w:themeColor="text1"/>
                <w:sz w:val="22"/>
                <w:szCs w:val="22"/>
              </w:rPr>
              <w:t>Modernizační fond</w:t>
            </w:r>
            <w:r w:rsidR="00C50FAC" w:rsidRPr="00CC61B2">
              <w:rPr>
                <w:rFonts w:asciiTheme="minorHAnsi" w:hAnsiTheme="minorHAnsi" w:cstheme="minorHAnsi"/>
                <w:color w:val="000000" w:themeColor="text1"/>
                <w:sz w:val="22"/>
                <w:szCs w:val="22"/>
              </w:rPr>
              <w:t xml:space="preserve"> či dále</w:t>
            </w:r>
            <w:r w:rsidR="00FD5514" w:rsidRPr="00CC61B2">
              <w:rPr>
                <w:rFonts w:asciiTheme="minorHAnsi" w:hAnsiTheme="minorHAnsi" w:cstheme="minorHAnsi"/>
                <w:color w:val="000000" w:themeColor="text1"/>
                <w:sz w:val="22"/>
                <w:szCs w:val="22"/>
              </w:rPr>
              <w:t xml:space="preserve"> NPO</w:t>
            </w:r>
            <w:r w:rsidR="00C50FAC" w:rsidRPr="00CC61B2">
              <w:rPr>
                <w:rFonts w:asciiTheme="minorHAnsi" w:hAnsiTheme="minorHAnsi" w:cstheme="minorHAnsi"/>
                <w:color w:val="000000" w:themeColor="text1"/>
                <w:sz w:val="22"/>
                <w:szCs w:val="22"/>
              </w:rPr>
              <w:t xml:space="preserve"> a</w:t>
            </w:r>
            <w:r w:rsidR="00FD5514" w:rsidRPr="00CC61B2">
              <w:rPr>
                <w:rFonts w:asciiTheme="minorHAnsi" w:hAnsiTheme="minorHAnsi" w:cstheme="minorHAnsi"/>
                <w:color w:val="000000" w:themeColor="text1"/>
                <w:sz w:val="22"/>
                <w:szCs w:val="22"/>
              </w:rPr>
              <w:t xml:space="preserve"> OP ST. OP TAK má svůj pevně daný příspěvek – viz Vnitrostá</w:t>
            </w:r>
            <w:r w:rsidR="00FD5514" w:rsidRPr="007F1252">
              <w:rPr>
                <w:rFonts w:asciiTheme="minorHAnsi" w:hAnsiTheme="minorHAnsi" w:cstheme="minorHAnsi"/>
                <w:color w:val="000000" w:themeColor="text1"/>
                <w:sz w:val="22"/>
                <w:szCs w:val="22"/>
              </w:rPr>
              <w:t>tní plán pro energetiku a klima. Doporučujeme tedy vnímat celkový kontext problematiky, který lépe ozřejmí cíle/příspěvek OP TAK k rozvoji hospodářství ČR</w:t>
            </w:r>
            <w:r w:rsidR="00C50FAC" w:rsidRPr="007F1252">
              <w:rPr>
                <w:rFonts w:asciiTheme="minorHAnsi" w:hAnsiTheme="minorHAnsi" w:cstheme="minorHAnsi"/>
                <w:color w:val="000000" w:themeColor="text1"/>
                <w:sz w:val="22"/>
                <w:szCs w:val="22"/>
              </w:rPr>
              <w:t>, resp. je potřeba si uvědomit existenci dalších nástrojů primárně určených k řešení této problematiky</w:t>
            </w:r>
            <w:r w:rsidR="00D57AB2" w:rsidRPr="007F1252">
              <w:rPr>
                <w:rFonts w:asciiTheme="minorHAnsi" w:hAnsiTheme="minorHAnsi" w:cstheme="minorHAnsi"/>
                <w:color w:val="000000" w:themeColor="text1"/>
                <w:sz w:val="22"/>
                <w:szCs w:val="22"/>
              </w:rPr>
              <w:t>, na které však OP TAK musí navazovat, resp. je doplňovat</w:t>
            </w:r>
            <w:r w:rsidR="00264AFC" w:rsidRPr="007F1252">
              <w:rPr>
                <w:rFonts w:asciiTheme="minorHAnsi" w:hAnsiTheme="minorHAnsi" w:cstheme="minorHAnsi"/>
                <w:color w:val="000000" w:themeColor="text1"/>
                <w:sz w:val="22"/>
                <w:szCs w:val="22"/>
              </w:rPr>
              <w:t xml:space="preserve">. Ostatně např. připomínka č. 1 k SC1.1 si tuto komplexnost uvědomuje, je tak potřeba nahlížet </w:t>
            </w:r>
            <w:r w:rsidR="00EC1065">
              <w:rPr>
                <w:rFonts w:asciiTheme="minorHAnsi" w:hAnsiTheme="minorHAnsi" w:cstheme="minorHAnsi"/>
                <w:color w:val="000000" w:themeColor="text1"/>
                <w:sz w:val="22"/>
                <w:szCs w:val="22"/>
              </w:rPr>
              <w:t xml:space="preserve">obdobně </w:t>
            </w:r>
            <w:r w:rsidR="00264AFC" w:rsidRPr="007F1252">
              <w:rPr>
                <w:rFonts w:asciiTheme="minorHAnsi" w:hAnsiTheme="minorHAnsi" w:cstheme="minorHAnsi"/>
                <w:color w:val="000000" w:themeColor="text1"/>
                <w:sz w:val="22"/>
                <w:szCs w:val="22"/>
              </w:rPr>
              <w:t>i na oblast energetiky/klima</w:t>
            </w:r>
            <w:r w:rsidR="00FD5514" w:rsidRPr="007F1252">
              <w:rPr>
                <w:rFonts w:asciiTheme="minorHAnsi" w:hAnsiTheme="minorHAnsi" w:cstheme="minorHAnsi"/>
                <w:color w:val="000000" w:themeColor="text1"/>
                <w:sz w:val="22"/>
                <w:szCs w:val="22"/>
              </w:rPr>
              <w:t>.</w:t>
            </w:r>
          </w:p>
          <w:p w14:paraId="41ECCEE9" w14:textId="13DED482" w:rsidR="006C3209" w:rsidRPr="007F1252" w:rsidRDefault="006C3209" w:rsidP="00733D12">
            <w:pPr>
              <w:spacing w:line="264" w:lineRule="auto"/>
              <w:jc w:val="both"/>
              <w:rPr>
                <w:rFonts w:asciiTheme="minorHAnsi" w:hAnsiTheme="minorHAnsi" w:cstheme="minorHAnsi"/>
                <w:color w:val="000000" w:themeColor="text1"/>
                <w:sz w:val="22"/>
                <w:szCs w:val="22"/>
              </w:rPr>
            </w:pPr>
          </w:p>
          <w:p w14:paraId="0C4030A5" w14:textId="13E48F6E" w:rsidR="00B97E60" w:rsidRPr="007F1252" w:rsidRDefault="00B97E60" w:rsidP="00733D12">
            <w:pPr>
              <w:spacing w:line="264" w:lineRule="auto"/>
              <w:jc w:val="both"/>
              <w:rPr>
                <w:rFonts w:asciiTheme="minorHAnsi" w:hAnsiTheme="minorHAnsi" w:cstheme="minorHAnsi"/>
                <w:bCs/>
                <w:color w:val="000000" w:themeColor="text1"/>
                <w:sz w:val="22"/>
                <w:szCs w:val="22"/>
              </w:rPr>
            </w:pPr>
          </w:p>
          <w:p w14:paraId="461C488A" w14:textId="4C2937D8" w:rsidR="009B5522" w:rsidRPr="007F1252" w:rsidRDefault="009B5522" w:rsidP="00733D12">
            <w:pPr>
              <w:spacing w:line="264" w:lineRule="auto"/>
              <w:jc w:val="both"/>
              <w:rPr>
                <w:rFonts w:asciiTheme="minorHAnsi" w:hAnsiTheme="minorHAnsi" w:cstheme="minorHAnsi"/>
                <w:b/>
                <w:bCs/>
                <w:color w:val="000000" w:themeColor="text1"/>
                <w:sz w:val="22"/>
                <w:szCs w:val="22"/>
              </w:rPr>
            </w:pPr>
          </w:p>
        </w:tc>
      </w:tr>
      <w:bookmarkEnd w:id="0"/>
      <w:tr w:rsidR="00120C8A" w:rsidRPr="00B77102" w14:paraId="3D38EF44" w14:textId="77777777" w:rsidTr="00120C8A">
        <w:trPr>
          <w:trHeight w:val="340"/>
        </w:trPr>
        <w:tc>
          <w:tcPr>
            <w:tcW w:w="827" w:type="dxa"/>
          </w:tcPr>
          <w:p w14:paraId="147F03E0" w14:textId="77777777" w:rsidR="00120C8A" w:rsidRPr="00120C8A" w:rsidRDefault="00120C8A" w:rsidP="00120C8A">
            <w:pPr>
              <w:pStyle w:val="Odstavecseseznamem"/>
              <w:numPr>
                <w:ilvl w:val="0"/>
                <w:numId w:val="23"/>
              </w:numPr>
              <w:jc w:val="center"/>
              <w:rPr>
                <w:rFonts w:asciiTheme="minorHAnsi" w:hAnsiTheme="minorHAnsi" w:cstheme="minorHAnsi"/>
                <w:b/>
                <w:bCs/>
                <w:sz w:val="22"/>
                <w:szCs w:val="22"/>
              </w:rPr>
            </w:pPr>
          </w:p>
        </w:tc>
        <w:tc>
          <w:tcPr>
            <w:tcW w:w="3073" w:type="dxa"/>
            <w:shd w:val="clear" w:color="auto" w:fill="auto"/>
          </w:tcPr>
          <w:p w14:paraId="67C464D7" w14:textId="61BF4910" w:rsidR="00120C8A" w:rsidRPr="007F1252" w:rsidRDefault="00120C8A" w:rsidP="00120C8A">
            <w:pPr>
              <w:rPr>
                <w:rFonts w:asciiTheme="minorHAnsi" w:hAnsiTheme="minorHAnsi" w:cstheme="minorHAnsi"/>
                <w:b/>
                <w:bCs/>
                <w:color w:val="000000" w:themeColor="text1"/>
                <w:sz w:val="22"/>
                <w:szCs w:val="22"/>
              </w:rPr>
            </w:pPr>
            <w:r w:rsidRPr="007F1252">
              <w:rPr>
                <w:rFonts w:asciiTheme="minorHAnsi" w:hAnsiTheme="minorHAnsi" w:cstheme="minorHAnsi"/>
                <w:b/>
                <w:bCs/>
                <w:color w:val="000000" w:themeColor="text1"/>
                <w:sz w:val="22"/>
                <w:szCs w:val="22"/>
              </w:rPr>
              <w:t>Doporučující</w:t>
            </w:r>
          </w:p>
        </w:tc>
        <w:tc>
          <w:tcPr>
            <w:tcW w:w="4748" w:type="dxa"/>
            <w:shd w:val="clear" w:color="auto" w:fill="auto"/>
          </w:tcPr>
          <w:p w14:paraId="1AC15F15" w14:textId="77777777" w:rsidR="00120C8A" w:rsidRPr="007F1252" w:rsidRDefault="00120C8A" w:rsidP="00120C8A">
            <w:pPr>
              <w:autoSpaceDE w:val="0"/>
              <w:autoSpaceDN w:val="0"/>
              <w:adjustRightInd w:val="0"/>
              <w:spacing w:after="120"/>
              <w:jc w:val="both"/>
              <w:rPr>
                <w:rFonts w:asciiTheme="minorHAnsi" w:hAnsiTheme="minorHAnsi" w:cstheme="minorHAnsi"/>
                <w:color w:val="000000" w:themeColor="text1"/>
                <w:sz w:val="22"/>
                <w:szCs w:val="22"/>
              </w:rPr>
            </w:pPr>
            <w:r w:rsidRPr="007F1252">
              <w:rPr>
                <w:rFonts w:asciiTheme="minorHAnsi" w:hAnsiTheme="minorHAnsi" w:cstheme="minorHAnsi"/>
                <w:color w:val="000000" w:themeColor="text1"/>
                <w:sz w:val="22"/>
                <w:szCs w:val="22"/>
              </w:rPr>
              <w:t>Rada doporučuje doplnit, z jaké definice TRL škály se v materiálu vychází.</w:t>
            </w:r>
          </w:p>
          <w:p w14:paraId="07697429" w14:textId="77777777" w:rsidR="00120C8A" w:rsidRPr="007F1252" w:rsidRDefault="00120C8A" w:rsidP="00120C8A">
            <w:pPr>
              <w:autoSpaceDE w:val="0"/>
              <w:autoSpaceDN w:val="0"/>
              <w:adjustRightInd w:val="0"/>
              <w:spacing w:after="120"/>
              <w:jc w:val="both"/>
              <w:rPr>
                <w:rFonts w:asciiTheme="minorHAnsi" w:hAnsiTheme="minorHAnsi" w:cstheme="minorHAnsi"/>
                <w:color w:val="000000" w:themeColor="text1"/>
                <w:sz w:val="22"/>
                <w:szCs w:val="22"/>
              </w:rPr>
            </w:pPr>
            <w:r w:rsidRPr="007F1252">
              <w:rPr>
                <w:rFonts w:asciiTheme="minorHAnsi" w:hAnsiTheme="minorHAnsi" w:cstheme="minorHAnsi"/>
                <w:color w:val="000000" w:themeColor="text1"/>
                <w:sz w:val="22"/>
                <w:szCs w:val="22"/>
              </w:rPr>
              <w:lastRenderedPageBreak/>
              <w:t>Zdůvodnění:</w:t>
            </w:r>
          </w:p>
          <w:p w14:paraId="745D7C58" w14:textId="31116712" w:rsidR="00120C8A" w:rsidRPr="007F1252" w:rsidRDefault="00120C8A" w:rsidP="00120C8A">
            <w:pPr>
              <w:autoSpaceDE w:val="0"/>
              <w:autoSpaceDN w:val="0"/>
              <w:adjustRightInd w:val="0"/>
              <w:spacing w:after="120"/>
              <w:jc w:val="both"/>
              <w:rPr>
                <w:rFonts w:asciiTheme="minorHAnsi" w:hAnsiTheme="minorHAnsi" w:cstheme="minorHAnsi"/>
                <w:color w:val="000000" w:themeColor="text1"/>
                <w:sz w:val="22"/>
                <w:szCs w:val="22"/>
              </w:rPr>
            </w:pPr>
            <w:r w:rsidRPr="007F1252">
              <w:rPr>
                <w:rFonts w:asciiTheme="minorHAnsi" w:hAnsiTheme="minorHAnsi" w:cstheme="minorHAnsi"/>
                <w:color w:val="000000" w:themeColor="text1"/>
                <w:sz w:val="22"/>
                <w:szCs w:val="22"/>
              </w:rPr>
              <w:t>Je třeba přivítat využívání TRL škály pro členění podpory – bylo by však dobré uvést, z jaké definice TRL škály se vychází. Další jednotlivostí jsou inovační vouchery, které jsou běžně poskytovány regiony a na celonárodní úrovni (zejména způsobem provedení, který byl nastaven v OP PIK) nemají v podstatě smysl a vedou k neefektivnímu používání finančních prostředků. Bylo by rovněž dobré objasnit, do jaké míry je možné podporovat jakékoli využívání plynu, a to vzhledem k „</w:t>
            </w:r>
            <w:proofErr w:type="spellStart"/>
            <w:r w:rsidRPr="007F1252">
              <w:rPr>
                <w:rFonts w:asciiTheme="minorHAnsi" w:hAnsiTheme="minorHAnsi" w:cstheme="minorHAnsi"/>
                <w:color w:val="000000" w:themeColor="text1"/>
                <w:sz w:val="22"/>
                <w:szCs w:val="22"/>
              </w:rPr>
              <w:t>postkovidově</w:t>
            </w:r>
            <w:proofErr w:type="spellEnd"/>
            <w:r w:rsidRPr="007F1252">
              <w:rPr>
                <w:rFonts w:asciiTheme="minorHAnsi" w:hAnsiTheme="minorHAnsi" w:cstheme="minorHAnsi"/>
                <w:color w:val="000000" w:themeColor="text1"/>
                <w:sz w:val="22"/>
                <w:szCs w:val="22"/>
              </w:rPr>
              <w:t>“ posíleným evropským klimatickým cílům.</w:t>
            </w:r>
          </w:p>
        </w:tc>
        <w:tc>
          <w:tcPr>
            <w:tcW w:w="5670" w:type="dxa"/>
            <w:shd w:val="clear" w:color="auto" w:fill="auto"/>
          </w:tcPr>
          <w:p w14:paraId="07F5C02C" w14:textId="35FB234B" w:rsidR="00CC61B2" w:rsidRPr="000947C3" w:rsidRDefault="005106F2" w:rsidP="00CC61B2">
            <w:pPr>
              <w:jc w:val="both"/>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lastRenderedPageBreak/>
              <w:t>Akceptováno</w:t>
            </w:r>
            <w:r w:rsidR="00CC61B2" w:rsidRPr="000947C3">
              <w:rPr>
                <w:rFonts w:asciiTheme="minorHAnsi" w:hAnsiTheme="minorHAnsi" w:cstheme="minorHAnsi"/>
                <w:b/>
                <w:color w:val="000000" w:themeColor="text1"/>
                <w:sz w:val="22"/>
                <w:szCs w:val="22"/>
              </w:rPr>
              <w:t>.</w:t>
            </w:r>
          </w:p>
          <w:p w14:paraId="1CEEC4F5" w14:textId="5A8D8169" w:rsidR="000947C3" w:rsidRPr="007F1252" w:rsidRDefault="000947C3" w:rsidP="000947C3">
            <w:pPr>
              <w:jc w:val="both"/>
              <w:rPr>
                <w:rFonts w:asciiTheme="minorHAnsi" w:hAnsiTheme="minorHAnsi" w:cstheme="minorHAnsi"/>
                <w:color w:val="000000" w:themeColor="text1"/>
                <w:sz w:val="22"/>
                <w:szCs w:val="22"/>
              </w:rPr>
            </w:pPr>
            <w:r w:rsidRPr="007F1252">
              <w:rPr>
                <w:rFonts w:asciiTheme="minorHAnsi" w:hAnsiTheme="minorHAnsi" w:cstheme="minorHAnsi"/>
                <w:color w:val="000000" w:themeColor="text1"/>
                <w:sz w:val="22"/>
                <w:szCs w:val="22"/>
              </w:rPr>
              <w:t>V OP TAK používáme stupnici TRL tak</w:t>
            </w:r>
            <w:r w:rsidR="00EC1065">
              <w:rPr>
                <w:rFonts w:asciiTheme="minorHAnsi" w:hAnsiTheme="minorHAnsi" w:cstheme="minorHAnsi"/>
                <w:color w:val="000000" w:themeColor="text1"/>
                <w:sz w:val="22"/>
                <w:szCs w:val="22"/>
              </w:rPr>
              <w:t>,</w:t>
            </w:r>
            <w:r w:rsidRPr="007F1252">
              <w:rPr>
                <w:rFonts w:asciiTheme="minorHAnsi" w:hAnsiTheme="minorHAnsi" w:cstheme="minorHAnsi"/>
                <w:color w:val="000000" w:themeColor="text1"/>
                <w:sz w:val="22"/>
                <w:szCs w:val="22"/>
              </w:rPr>
              <w:t xml:space="preserve"> jak je definována v programech </w:t>
            </w:r>
            <w:proofErr w:type="spellStart"/>
            <w:r w:rsidRPr="007F1252">
              <w:rPr>
                <w:rFonts w:asciiTheme="minorHAnsi" w:hAnsiTheme="minorHAnsi" w:cstheme="minorHAnsi"/>
                <w:color w:val="000000" w:themeColor="text1"/>
                <w:sz w:val="22"/>
                <w:szCs w:val="22"/>
              </w:rPr>
              <w:t>Horizon</w:t>
            </w:r>
            <w:proofErr w:type="spellEnd"/>
            <w:r w:rsidRPr="007F1252">
              <w:rPr>
                <w:rFonts w:asciiTheme="minorHAnsi" w:hAnsiTheme="minorHAnsi" w:cstheme="minorHAnsi"/>
                <w:color w:val="000000" w:themeColor="text1"/>
                <w:sz w:val="22"/>
                <w:szCs w:val="22"/>
              </w:rPr>
              <w:t xml:space="preserve"> 2020 a </w:t>
            </w:r>
            <w:proofErr w:type="spellStart"/>
            <w:r w:rsidRPr="007F1252">
              <w:rPr>
                <w:rFonts w:asciiTheme="minorHAnsi" w:hAnsiTheme="minorHAnsi" w:cstheme="minorHAnsi"/>
                <w:color w:val="000000" w:themeColor="text1"/>
                <w:sz w:val="22"/>
                <w:szCs w:val="22"/>
              </w:rPr>
              <w:t>Horizon</w:t>
            </w:r>
            <w:proofErr w:type="spellEnd"/>
            <w:r w:rsidRPr="007F1252">
              <w:rPr>
                <w:rFonts w:asciiTheme="minorHAnsi" w:hAnsiTheme="minorHAnsi" w:cstheme="minorHAnsi"/>
                <w:color w:val="000000" w:themeColor="text1"/>
                <w:sz w:val="22"/>
                <w:szCs w:val="22"/>
              </w:rPr>
              <w:t xml:space="preserve"> </w:t>
            </w:r>
            <w:proofErr w:type="spellStart"/>
            <w:r w:rsidRPr="007F1252">
              <w:rPr>
                <w:rFonts w:asciiTheme="minorHAnsi" w:hAnsiTheme="minorHAnsi" w:cstheme="minorHAnsi"/>
                <w:color w:val="000000" w:themeColor="text1"/>
                <w:sz w:val="22"/>
                <w:szCs w:val="22"/>
              </w:rPr>
              <w:t>Europe</w:t>
            </w:r>
            <w:proofErr w:type="spellEnd"/>
            <w:r w:rsidRPr="007F1252">
              <w:rPr>
                <w:rFonts w:asciiTheme="minorHAnsi" w:hAnsiTheme="minorHAnsi" w:cstheme="minorHAnsi"/>
                <w:color w:val="000000" w:themeColor="text1"/>
                <w:sz w:val="22"/>
                <w:szCs w:val="22"/>
              </w:rPr>
              <w:t xml:space="preserve"> (viz např. </w:t>
            </w:r>
            <w:r w:rsidRPr="007F1252">
              <w:rPr>
                <w:rFonts w:asciiTheme="minorHAnsi" w:hAnsiTheme="minorHAnsi" w:cstheme="minorHAnsi"/>
                <w:color w:val="000000" w:themeColor="text1"/>
                <w:sz w:val="22"/>
                <w:szCs w:val="22"/>
              </w:rPr>
              <w:lastRenderedPageBreak/>
              <w:t xml:space="preserve">HORIZON 2020 – WORK PROGRAMME 2014-2015 </w:t>
            </w:r>
            <w:proofErr w:type="spellStart"/>
            <w:r w:rsidRPr="007F1252">
              <w:rPr>
                <w:rFonts w:asciiTheme="minorHAnsi" w:hAnsiTheme="minorHAnsi" w:cstheme="minorHAnsi"/>
                <w:color w:val="000000" w:themeColor="text1"/>
                <w:sz w:val="22"/>
                <w:szCs w:val="22"/>
              </w:rPr>
              <w:t>Annex</w:t>
            </w:r>
            <w:proofErr w:type="spellEnd"/>
            <w:r w:rsidRPr="007F1252">
              <w:rPr>
                <w:rFonts w:asciiTheme="minorHAnsi" w:hAnsiTheme="minorHAnsi" w:cstheme="minorHAnsi"/>
                <w:color w:val="000000" w:themeColor="text1"/>
                <w:sz w:val="22"/>
                <w:szCs w:val="22"/>
              </w:rPr>
              <w:t xml:space="preserve"> G).</w:t>
            </w:r>
            <w:r w:rsidR="005106F2">
              <w:rPr>
                <w:rFonts w:asciiTheme="minorHAnsi" w:hAnsiTheme="minorHAnsi" w:cstheme="minorHAnsi"/>
                <w:color w:val="000000" w:themeColor="text1"/>
                <w:sz w:val="22"/>
                <w:szCs w:val="22"/>
              </w:rPr>
              <w:t xml:space="preserve"> Do programového dokumentu bude doplněno.</w:t>
            </w:r>
          </w:p>
          <w:p w14:paraId="0F069D5C" w14:textId="77777777" w:rsidR="000947C3" w:rsidRPr="007F1252" w:rsidRDefault="000947C3" w:rsidP="000947C3">
            <w:pPr>
              <w:jc w:val="both"/>
              <w:rPr>
                <w:rFonts w:asciiTheme="minorHAnsi" w:hAnsiTheme="minorHAnsi" w:cstheme="minorHAnsi"/>
                <w:b/>
                <w:bCs/>
                <w:color w:val="000000" w:themeColor="text1"/>
                <w:sz w:val="22"/>
                <w:szCs w:val="22"/>
              </w:rPr>
            </w:pPr>
          </w:p>
          <w:p w14:paraId="0BCF884D" w14:textId="48EC62B7" w:rsidR="000947C3" w:rsidRPr="007F1252" w:rsidRDefault="000947C3" w:rsidP="000947C3">
            <w:pPr>
              <w:jc w:val="both"/>
              <w:rPr>
                <w:rFonts w:asciiTheme="minorHAnsi" w:hAnsiTheme="minorHAnsi" w:cstheme="minorHAnsi"/>
                <w:color w:val="000000" w:themeColor="text1"/>
                <w:sz w:val="22"/>
                <w:szCs w:val="22"/>
              </w:rPr>
            </w:pPr>
            <w:r w:rsidRPr="007F1252">
              <w:rPr>
                <w:rFonts w:asciiTheme="minorHAnsi" w:hAnsiTheme="minorHAnsi" w:cstheme="minorHAnsi"/>
                <w:color w:val="000000" w:themeColor="text1"/>
                <w:sz w:val="22"/>
                <w:szCs w:val="22"/>
              </w:rPr>
              <w:t xml:space="preserve">Nesouhlasíme </w:t>
            </w:r>
            <w:r w:rsidR="005106F2">
              <w:rPr>
                <w:rFonts w:asciiTheme="minorHAnsi" w:hAnsiTheme="minorHAnsi" w:cstheme="minorHAnsi"/>
                <w:color w:val="000000" w:themeColor="text1"/>
                <w:sz w:val="22"/>
                <w:szCs w:val="22"/>
              </w:rPr>
              <w:t xml:space="preserve">však </w:t>
            </w:r>
            <w:r w:rsidRPr="007F1252">
              <w:rPr>
                <w:rFonts w:asciiTheme="minorHAnsi" w:hAnsiTheme="minorHAnsi" w:cstheme="minorHAnsi"/>
                <w:color w:val="000000" w:themeColor="text1"/>
                <w:sz w:val="22"/>
                <w:szCs w:val="22"/>
              </w:rPr>
              <w:t>s tvrzení</w:t>
            </w:r>
            <w:r w:rsidR="00EC1065">
              <w:rPr>
                <w:rFonts w:asciiTheme="minorHAnsi" w:hAnsiTheme="minorHAnsi" w:cstheme="minorHAnsi"/>
                <w:color w:val="000000" w:themeColor="text1"/>
                <w:sz w:val="22"/>
                <w:szCs w:val="22"/>
              </w:rPr>
              <w:t>m</w:t>
            </w:r>
            <w:r w:rsidRPr="007F1252">
              <w:rPr>
                <w:rFonts w:asciiTheme="minorHAnsi" w:hAnsiTheme="minorHAnsi" w:cstheme="minorHAnsi"/>
                <w:color w:val="000000" w:themeColor="text1"/>
                <w:sz w:val="22"/>
                <w:szCs w:val="22"/>
              </w:rPr>
              <w:t xml:space="preserve">, že Inovační vouchery nemají smysl a vedou k neefektivnímu používání finančních prostředků. Naopak, díky tomuto programu dochází k navazování spolupráce (mnohdy prvotní) mez podnikatelskou a výzkumnou sférou. A na základě této zkušenosti dále spolupracují či si následně podávají společný projekt, například do programu </w:t>
            </w:r>
            <w:proofErr w:type="spellStart"/>
            <w:r w:rsidRPr="007F1252">
              <w:rPr>
                <w:rFonts w:asciiTheme="minorHAnsi" w:hAnsiTheme="minorHAnsi" w:cstheme="minorHAnsi"/>
                <w:color w:val="000000" w:themeColor="text1"/>
                <w:sz w:val="22"/>
                <w:szCs w:val="22"/>
              </w:rPr>
              <w:t>Proof</w:t>
            </w:r>
            <w:proofErr w:type="spellEnd"/>
            <w:r w:rsidRPr="007F1252">
              <w:rPr>
                <w:rFonts w:asciiTheme="minorHAnsi" w:hAnsiTheme="minorHAnsi" w:cstheme="minorHAnsi"/>
                <w:color w:val="000000" w:themeColor="text1"/>
                <w:sz w:val="22"/>
                <w:szCs w:val="22"/>
              </w:rPr>
              <w:t xml:space="preserve"> </w:t>
            </w:r>
            <w:proofErr w:type="spellStart"/>
            <w:r w:rsidRPr="007F1252">
              <w:rPr>
                <w:rFonts w:asciiTheme="minorHAnsi" w:hAnsiTheme="minorHAnsi" w:cstheme="minorHAnsi"/>
                <w:color w:val="000000" w:themeColor="text1"/>
                <w:sz w:val="22"/>
                <w:szCs w:val="22"/>
              </w:rPr>
              <w:t>of</w:t>
            </w:r>
            <w:proofErr w:type="spellEnd"/>
            <w:r w:rsidRPr="007F1252">
              <w:rPr>
                <w:rFonts w:asciiTheme="minorHAnsi" w:hAnsiTheme="minorHAnsi" w:cstheme="minorHAnsi"/>
                <w:color w:val="000000" w:themeColor="text1"/>
                <w:sz w:val="22"/>
                <w:szCs w:val="22"/>
              </w:rPr>
              <w:t xml:space="preserve"> </w:t>
            </w:r>
            <w:proofErr w:type="spellStart"/>
            <w:r w:rsidRPr="007F1252">
              <w:rPr>
                <w:rFonts w:asciiTheme="minorHAnsi" w:hAnsiTheme="minorHAnsi" w:cstheme="minorHAnsi"/>
                <w:color w:val="000000" w:themeColor="text1"/>
                <w:sz w:val="22"/>
                <w:szCs w:val="22"/>
              </w:rPr>
              <w:t>concept</w:t>
            </w:r>
            <w:proofErr w:type="spellEnd"/>
            <w:r w:rsidRPr="007F1252">
              <w:rPr>
                <w:rFonts w:asciiTheme="minorHAnsi" w:hAnsiTheme="minorHAnsi" w:cstheme="minorHAnsi"/>
                <w:color w:val="000000" w:themeColor="text1"/>
                <w:sz w:val="22"/>
                <w:szCs w:val="22"/>
              </w:rPr>
              <w:t xml:space="preserve"> nebo Aplikace. Z našeho pohledu je proto program Inovační vouchery přínosný a nárůst těchto interakcí mezi podniky a organizacemi pro výzkum a šíření znalostí má pozitivní dopad na posílení konkurenceschopnosti malých a středních podniků.</w:t>
            </w:r>
          </w:p>
          <w:p w14:paraId="33AC9617" w14:textId="77777777" w:rsidR="000947C3" w:rsidRPr="007F1252" w:rsidRDefault="000947C3" w:rsidP="000947C3">
            <w:pPr>
              <w:jc w:val="both"/>
              <w:rPr>
                <w:rFonts w:asciiTheme="minorHAnsi" w:hAnsiTheme="minorHAnsi" w:cstheme="minorHAnsi"/>
                <w:color w:val="000000" w:themeColor="text1"/>
                <w:sz w:val="22"/>
                <w:szCs w:val="22"/>
              </w:rPr>
            </w:pPr>
          </w:p>
          <w:p w14:paraId="7F06B8F5" w14:textId="77777777" w:rsidR="000947C3" w:rsidRPr="007F1252" w:rsidRDefault="000947C3" w:rsidP="000947C3">
            <w:pPr>
              <w:jc w:val="both"/>
              <w:rPr>
                <w:rFonts w:asciiTheme="minorHAnsi" w:hAnsiTheme="minorHAnsi" w:cstheme="minorHAnsi"/>
                <w:color w:val="000000" w:themeColor="text1"/>
                <w:sz w:val="22"/>
                <w:szCs w:val="22"/>
              </w:rPr>
            </w:pPr>
            <w:r w:rsidRPr="007F1252">
              <w:rPr>
                <w:rFonts w:asciiTheme="minorHAnsi" w:hAnsiTheme="minorHAnsi" w:cstheme="minorHAnsi"/>
                <w:color w:val="000000" w:themeColor="text1"/>
                <w:sz w:val="22"/>
                <w:szCs w:val="22"/>
              </w:rPr>
              <w:t>Využívání zjednodušených schémat typu inovační vouchery pro menší individuální projekty MSP se zaměřením na zavádění nových technologií vede k posunu podpory aktivit blízkých trhu, ověřování a validace nových inovačních řešení.</w:t>
            </w:r>
          </w:p>
          <w:p w14:paraId="27EC2FF1" w14:textId="0923F4DE" w:rsidR="000947C3" w:rsidRPr="007F1252" w:rsidRDefault="000947C3" w:rsidP="000947C3">
            <w:pPr>
              <w:jc w:val="both"/>
              <w:rPr>
                <w:rFonts w:asciiTheme="minorHAnsi" w:hAnsiTheme="minorHAnsi" w:cstheme="minorHAnsi"/>
                <w:color w:val="000000" w:themeColor="text1"/>
                <w:sz w:val="22"/>
                <w:szCs w:val="22"/>
              </w:rPr>
            </w:pPr>
          </w:p>
          <w:p w14:paraId="04140DB2" w14:textId="2038DAE7" w:rsidR="00733D12" w:rsidRPr="007F1252" w:rsidRDefault="00733D12" w:rsidP="00733D12">
            <w:pPr>
              <w:spacing w:line="264" w:lineRule="auto"/>
              <w:jc w:val="both"/>
              <w:rPr>
                <w:rFonts w:asciiTheme="minorHAnsi" w:hAnsiTheme="minorHAnsi" w:cstheme="minorHAnsi"/>
                <w:bCs/>
                <w:color w:val="000000" w:themeColor="text1"/>
                <w:sz w:val="22"/>
                <w:szCs w:val="22"/>
              </w:rPr>
            </w:pPr>
            <w:r w:rsidRPr="007F1252">
              <w:rPr>
                <w:rFonts w:asciiTheme="minorHAnsi" w:hAnsiTheme="minorHAnsi" w:cstheme="minorHAnsi"/>
                <w:bCs/>
                <w:color w:val="000000" w:themeColor="text1"/>
                <w:sz w:val="22"/>
                <w:szCs w:val="22"/>
              </w:rPr>
              <w:t>K problematice podpory využívání plynu lze uvést, že výjimky, za kterých lze „plyn“ podporovat, jsou specifikovány v Nařízení EP a Rady (EU) o Evropském fondu pro regionální rozvoj a Fondu soudržnosti, konkrétně čl. 7. odst. 1, písm. h).</w:t>
            </w:r>
          </w:p>
          <w:p w14:paraId="7988C654" w14:textId="77777777" w:rsidR="00733D12" w:rsidRPr="007F1252" w:rsidRDefault="00733D12" w:rsidP="00733D12">
            <w:pPr>
              <w:pStyle w:val="Point1"/>
              <w:spacing w:before="0" w:after="0" w:line="264" w:lineRule="auto"/>
              <w:ind w:left="31" w:firstLine="0"/>
              <w:jc w:val="both"/>
              <w:rPr>
                <w:rFonts w:asciiTheme="minorHAnsi" w:hAnsiTheme="minorHAnsi" w:cstheme="minorHAnsi"/>
                <w:color w:val="000000" w:themeColor="text1"/>
                <w:sz w:val="22"/>
              </w:rPr>
            </w:pPr>
            <w:r w:rsidRPr="007F1252">
              <w:rPr>
                <w:rFonts w:asciiTheme="minorHAnsi" w:hAnsiTheme="minorHAnsi" w:cstheme="minorHAnsi"/>
                <w:color w:val="000000" w:themeColor="text1"/>
                <w:sz w:val="22"/>
              </w:rPr>
              <w:t xml:space="preserve">Konkrétně se jedná o: </w:t>
            </w:r>
          </w:p>
          <w:p w14:paraId="7B02D74C" w14:textId="5D611471" w:rsidR="00733D12" w:rsidRPr="007F1252" w:rsidRDefault="00733D12" w:rsidP="00733D12">
            <w:pPr>
              <w:pStyle w:val="Point1"/>
              <w:spacing w:before="0" w:after="0" w:line="264" w:lineRule="auto"/>
              <w:ind w:left="31" w:firstLine="0"/>
              <w:jc w:val="both"/>
              <w:rPr>
                <w:rFonts w:asciiTheme="minorHAnsi" w:eastAsia="Times New Roman" w:hAnsiTheme="minorHAnsi" w:cstheme="minorHAnsi"/>
                <w:color w:val="000000" w:themeColor="text1"/>
                <w:sz w:val="22"/>
                <w:shd w:val="clear" w:color="auto" w:fill="FFFFFF"/>
              </w:rPr>
            </w:pPr>
            <w:r w:rsidRPr="007F1252">
              <w:rPr>
                <w:rFonts w:asciiTheme="minorHAnsi" w:hAnsiTheme="minorHAnsi" w:cstheme="minorHAnsi"/>
                <w:color w:val="000000" w:themeColor="text1"/>
                <w:sz w:val="22"/>
              </w:rPr>
              <w:t>h) investice související s výrobou, zpracováním, přepravou, distribucí, skladováním nebo spalováním fosilních paliv, s výjimkou:</w:t>
            </w:r>
          </w:p>
          <w:p w14:paraId="370A8B07" w14:textId="77777777" w:rsidR="00733D12" w:rsidRPr="007F1252" w:rsidRDefault="00733D12" w:rsidP="00733D12">
            <w:pPr>
              <w:pStyle w:val="Point2"/>
              <w:spacing w:before="0" w:after="0" w:line="264" w:lineRule="auto"/>
              <w:jc w:val="both"/>
              <w:rPr>
                <w:rFonts w:asciiTheme="minorHAnsi" w:hAnsiTheme="minorHAnsi" w:cstheme="minorHAnsi"/>
                <w:color w:val="000000" w:themeColor="text1"/>
                <w:sz w:val="22"/>
              </w:rPr>
            </w:pPr>
            <w:r w:rsidRPr="007F1252">
              <w:rPr>
                <w:rFonts w:asciiTheme="minorHAnsi" w:hAnsiTheme="minorHAnsi" w:cstheme="minorHAnsi"/>
                <w:color w:val="000000" w:themeColor="text1"/>
                <w:sz w:val="22"/>
              </w:rPr>
              <w:t>i)</w:t>
            </w:r>
            <w:r w:rsidRPr="007F1252">
              <w:rPr>
                <w:rFonts w:asciiTheme="minorHAnsi" w:hAnsiTheme="minorHAnsi" w:cstheme="minorHAnsi"/>
                <w:color w:val="000000" w:themeColor="text1"/>
                <w:sz w:val="22"/>
              </w:rPr>
              <w:tab/>
              <w:t>nahrazování systémů vytápění spalujících tuhá fosilní paliva, tj. uhlí, rašelinu, lignit a roponosnou břidlici, systémy vytápění spalujícími plynná paliva za účelem:</w:t>
            </w:r>
          </w:p>
          <w:p w14:paraId="2A844E4E" w14:textId="77777777" w:rsidR="00733D12" w:rsidRPr="007F1252" w:rsidRDefault="00733D12" w:rsidP="00733D12">
            <w:pPr>
              <w:pStyle w:val="Tiret3"/>
              <w:spacing w:before="0" w:after="0" w:line="264" w:lineRule="auto"/>
              <w:jc w:val="both"/>
              <w:rPr>
                <w:rFonts w:asciiTheme="minorHAnsi" w:hAnsiTheme="minorHAnsi" w:cstheme="minorHAnsi"/>
                <w:color w:val="000000" w:themeColor="text1"/>
                <w:sz w:val="22"/>
              </w:rPr>
            </w:pPr>
            <w:r w:rsidRPr="007F1252">
              <w:rPr>
                <w:rFonts w:asciiTheme="minorHAnsi" w:hAnsiTheme="minorHAnsi" w:cstheme="minorHAnsi"/>
                <w:color w:val="000000" w:themeColor="text1"/>
                <w:sz w:val="22"/>
              </w:rPr>
              <w:lastRenderedPageBreak/>
              <w:t>modernizace systémů dálkového vytápění a chlazení na úroveň účinného dálkového vytápění a chlazení ve smyslu čl. 2 bodu 41 směrnice 2012/27/EU;</w:t>
            </w:r>
          </w:p>
          <w:p w14:paraId="30BCDA1B" w14:textId="77777777" w:rsidR="00733D12" w:rsidRPr="007F1252" w:rsidRDefault="00733D12" w:rsidP="00733D12">
            <w:pPr>
              <w:pStyle w:val="Tiret3"/>
              <w:numPr>
                <w:ilvl w:val="0"/>
                <w:numId w:val="27"/>
              </w:numPr>
              <w:spacing w:before="0" w:after="0" w:line="264" w:lineRule="auto"/>
              <w:jc w:val="both"/>
              <w:rPr>
                <w:rFonts w:asciiTheme="minorHAnsi" w:hAnsiTheme="minorHAnsi" w:cstheme="minorHAnsi"/>
                <w:color w:val="000000" w:themeColor="text1"/>
                <w:sz w:val="22"/>
              </w:rPr>
            </w:pPr>
            <w:r w:rsidRPr="007F1252">
              <w:rPr>
                <w:rFonts w:asciiTheme="minorHAnsi" w:hAnsiTheme="minorHAnsi" w:cstheme="minorHAnsi"/>
                <w:color w:val="000000" w:themeColor="text1"/>
                <w:sz w:val="22"/>
              </w:rPr>
              <w:t>modernizace zařízení na kombinovanou výrobu tepla a elektřiny na úroveň vysoce účinné kombinované výroby tepla a elektřiny ve smyslu čl. 2 bodu 34 směrnice 2012/27/EU;</w:t>
            </w:r>
          </w:p>
          <w:p w14:paraId="58081A7E" w14:textId="77777777" w:rsidR="00733D12" w:rsidRPr="007F1252" w:rsidRDefault="00733D12" w:rsidP="00733D12">
            <w:pPr>
              <w:pStyle w:val="Tiret3"/>
              <w:numPr>
                <w:ilvl w:val="0"/>
                <w:numId w:val="27"/>
              </w:numPr>
              <w:spacing w:before="0" w:after="0" w:line="264" w:lineRule="auto"/>
              <w:jc w:val="both"/>
              <w:rPr>
                <w:rFonts w:asciiTheme="minorHAnsi" w:hAnsiTheme="minorHAnsi" w:cstheme="minorHAnsi"/>
                <w:color w:val="000000" w:themeColor="text1"/>
                <w:sz w:val="22"/>
              </w:rPr>
            </w:pPr>
            <w:r w:rsidRPr="007F1252">
              <w:rPr>
                <w:rFonts w:asciiTheme="minorHAnsi" w:hAnsiTheme="minorHAnsi" w:cstheme="minorHAnsi"/>
                <w:color w:val="000000" w:themeColor="text1"/>
                <w:sz w:val="22"/>
              </w:rPr>
              <w:t>investic do plynových kotlů a systémů vytápění v obytných a jiných budovách nahrazujících zařízení na bázi uhlí, rašeliny, lignitu nebo roponosné břidlice;</w:t>
            </w:r>
          </w:p>
          <w:p w14:paraId="49ED4810" w14:textId="77777777" w:rsidR="00733D12" w:rsidRPr="007F1252" w:rsidRDefault="00733D12" w:rsidP="00733D12">
            <w:pPr>
              <w:pStyle w:val="Point2"/>
              <w:spacing w:before="0" w:after="0" w:line="264" w:lineRule="auto"/>
              <w:jc w:val="both"/>
              <w:rPr>
                <w:rFonts w:asciiTheme="minorHAnsi" w:hAnsiTheme="minorHAnsi" w:cstheme="minorHAnsi"/>
                <w:color w:val="000000" w:themeColor="text1"/>
                <w:sz w:val="22"/>
              </w:rPr>
            </w:pPr>
            <w:proofErr w:type="spellStart"/>
            <w:r w:rsidRPr="007F1252">
              <w:rPr>
                <w:rFonts w:asciiTheme="minorHAnsi" w:hAnsiTheme="minorHAnsi" w:cstheme="minorHAnsi"/>
                <w:color w:val="000000" w:themeColor="text1"/>
                <w:sz w:val="22"/>
              </w:rPr>
              <w:t>ii</w:t>
            </w:r>
            <w:proofErr w:type="spellEnd"/>
            <w:r w:rsidRPr="007F1252">
              <w:rPr>
                <w:rFonts w:asciiTheme="minorHAnsi" w:hAnsiTheme="minorHAnsi" w:cstheme="minorHAnsi"/>
                <w:color w:val="000000" w:themeColor="text1"/>
                <w:sz w:val="22"/>
              </w:rPr>
              <w:t>)</w:t>
            </w:r>
            <w:r w:rsidRPr="007F1252">
              <w:rPr>
                <w:rFonts w:asciiTheme="minorHAnsi" w:hAnsiTheme="minorHAnsi" w:cstheme="minorHAnsi"/>
                <w:color w:val="000000" w:themeColor="text1"/>
                <w:sz w:val="22"/>
              </w:rPr>
              <w:tab/>
              <w:t xml:space="preserve">investic do rozšiřování a nového využití, přeměny nebo dovybavení plynárenských přepravních a distribučních sítí, které tyto sítě připraví na přidávání plynů z obnovitelných zdrojů a nízkouhlíkových plynů, jako je vodík, </w:t>
            </w:r>
            <w:proofErr w:type="spellStart"/>
            <w:r w:rsidRPr="007F1252">
              <w:rPr>
                <w:rFonts w:asciiTheme="minorHAnsi" w:hAnsiTheme="minorHAnsi" w:cstheme="minorHAnsi"/>
                <w:color w:val="000000" w:themeColor="text1"/>
                <w:sz w:val="22"/>
              </w:rPr>
              <w:t>biomethan</w:t>
            </w:r>
            <w:proofErr w:type="spellEnd"/>
            <w:r w:rsidRPr="007F1252">
              <w:rPr>
                <w:rFonts w:asciiTheme="minorHAnsi" w:hAnsiTheme="minorHAnsi" w:cstheme="minorHAnsi"/>
                <w:color w:val="000000" w:themeColor="text1"/>
                <w:sz w:val="22"/>
              </w:rPr>
              <w:t xml:space="preserve"> a syntézní plyn, do soustavy a umožní nahradit zařízení na pevná fosilní paliva;</w:t>
            </w:r>
          </w:p>
          <w:p w14:paraId="2EF2640E" w14:textId="77777777" w:rsidR="00733D12" w:rsidRPr="007F1252" w:rsidRDefault="00733D12" w:rsidP="00733D12">
            <w:pPr>
              <w:pStyle w:val="Point2"/>
              <w:spacing w:before="0" w:after="0" w:line="264" w:lineRule="auto"/>
              <w:jc w:val="both"/>
              <w:rPr>
                <w:rFonts w:asciiTheme="minorHAnsi" w:hAnsiTheme="minorHAnsi" w:cstheme="minorHAnsi"/>
                <w:color w:val="000000" w:themeColor="text1"/>
                <w:sz w:val="22"/>
              </w:rPr>
            </w:pPr>
            <w:r w:rsidRPr="007F1252">
              <w:rPr>
                <w:rFonts w:asciiTheme="minorHAnsi" w:hAnsiTheme="minorHAnsi" w:cstheme="minorHAnsi"/>
                <w:color w:val="000000" w:themeColor="text1"/>
                <w:sz w:val="22"/>
              </w:rPr>
              <w:br w:type="page"/>
            </w:r>
            <w:proofErr w:type="spellStart"/>
            <w:r w:rsidRPr="007F1252">
              <w:rPr>
                <w:rFonts w:asciiTheme="minorHAnsi" w:hAnsiTheme="minorHAnsi" w:cstheme="minorHAnsi"/>
                <w:color w:val="000000" w:themeColor="text1"/>
                <w:sz w:val="22"/>
              </w:rPr>
              <w:t>iii</w:t>
            </w:r>
            <w:proofErr w:type="spellEnd"/>
            <w:r w:rsidRPr="007F1252">
              <w:rPr>
                <w:rFonts w:asciiTheme="minorHAnsi" w:hAnsiTheme="minorHAnsi" w:cstheme="minorHAnsi"/>
                <w:color w:val="000000" w:themeColor="text1"/>
                <w:sz w:val="22"/>
              </w:rPr>
              <w:t>)</w:t>
            </w:r>
            <w:r w:rsidRPr="007F1252">
              <w:rPr>
                <w:rFonts w:asciiTheme="minorHAnsi" w:hAnsiTheme="minorHAnsi" w:cstheme="minorHAnsi"/>
                <w:color w:val="000000" w:themeColor="text1"/>
                <w:sz w:val="22"/>
              </w:rPr>
              <w:tab/>
              <w:t>investic do:</w:t>
            </w:r>
          </w:p>
          <w:p w14:paraId="23F5498D" w14:textId="77777777" w:rsidR="00733D12" w:rsidRPr="007F1252" w:rsidRDefault="00733D12" w:rsidP="00733D12">
            <w:pPr>
              <w:pStyle w:val="Tiret3"/>
              <w:numPr>
                <w:ilvl w:val="0"/>
                <w:numId w:val="27"/>
              </w:numPr>
              <w:spacing w:before="0" w:after="0" w:line="264" w:lineRule="auto"/>
              <w:jc w:val="both"/>
              <w:rPr>
                <w:rFonts w:asciiTheme="minorHAnsi" w:eastAsia="Times New Roman" w:hAnsiTheme="minorHAnsi" w:cstheme="minorHAnsi"/>
                <w:color w:val="000000" w:themeColor="text1"/>
                <w:sz w:val="22"/>
              </w:rPr>
            </w:pPr>
            <w:r w:rsidRPr="007F1252">
              <w:rPr>
                <w:rFonts w:asciiTheme="minorHAnsi" w:hAnsiTheme="minorHAnsi" w:cstheme="minorHAnsi"/>
                <w:color w:val="000000" w:themeColor="text1"/>
                <w:sz w:val="22"/>
              </w:rPr>
              <w:t xml:space="preserve">čistých vozidel podle definice ve smyslu směrnice Evropského </w:t>
            </w:r>
            <w:r w:rsidRPr="007F1252">
              <w:rPr>
                <w:rFonts w:asciiTheme="minorHAnsi" w:hAnsiTheme="minorHAnsi" w:cstheme="minorHAnsi"/>
                <w:color w:val="000000" w:themeColor="text1"/>
                <w:sz w:val="22"/>
              </w:rPr>
              <w:lastRenderedPageBreak/>
              <w:t>parlamentu a Rady 2009/33/ES</w:t>
            </w:r>
            <w:r w:rsidRPr="007F1252">
              <w:rPr>
                <w:rStyle w:val="Znakapoznpodarou"/>
                <w:rFonts w:asciiTheme="minorHAnsi" w:hAnsiTheme="minorHAnsi" w:cstheme="minorHAnsi"/>
                <w:color w:val="000000" w:themeColor="text1"/>
                <w:sz w:val="22"/>
              </w:rPr>
              <w:footnoteReference w:id="1"/>
            </w:r>
            <w:r w:rsidRPr="007F1252">
              <w:rPr>
                <w:rFonts w:asciiTheme="minorHAnsi" w:hAnsiTheme="minorHAnsi" w:cstheme="minorHAnsi"/>
                <w:color w:val="000000" w:themeColor="text1"/>
                <w:sz w:val="22"/>
              </w:rPr>
              <w:t xml:space="preserve"> pro veřejné účely a</w:t>
            </w:r>
          </w:p>
          <w:p w14:paraId="14135F3F" w14:textId="77777777" w:rsidR="00733D12" w:rsidRPr="007F1252" w:rsidRDefault="00733D12" w:rsidP="00733D12">
            <w:pPr>
              <w:pStyle w:val="Tiret3"/>
              <w:numPr>
                <w:ilvl w:val="0"/>
                <w:numId w:val="27"/>
              </w:numPr>
              <w:spacing w:before="0" w:after="0" w:line="264" w:lineRule="auto"/>
              <w:jc w:val="both"/>
              <w:rPr>
                <w:rFonts w:asciiTheme="minorHAnsi" w:eastAsia="Times New Roman" w:hAnsiTheme="minorHAnsi" w:cstheme="minorHAnsi"/>
                <w:color w:val="000000" w:themeColor="text1"/>
                <w:sz w:val="22"/>
              </w:rPr>
            </w:pPr>
            <w:r w:rsidRPr="007F1252">
              <w:rPr>
                <w:rFonts w:asciiTheme="minorHAnsi" w:hAnsiTheme="minorHAnsi" w:cstheme="minorHAnsi"/>
                <w:color w:val="000000" w:themeColor="text1"/>
                <w:sz w:val="22"/>
              </w:rPr>
              <w:t>vozidel, letadel a plavidel konstruovaných a vyrobených nebo upravených pro použití civilní ochranou a protipožárními službami.</w:t>
            </w:r>
          </w:p>
          <w:p w14:paraId="41783FEB" w14:textId="2F93E5B7" w:rsidR="00733D12" w:rsidRPr="007F1252" w:rsidRDefault="00733D12" w:rsidP="00733D12">
            <w:pPr>
              <w:spacing w:line="264" w:lineRule="auto"/>
              <w:jc w:val="both"/>
              <w:rPr>
                <w:rFonts w:asciiTheme="minorHAnsi" w:hAnsiTheme="minorHAnsi" w:cstheme="minorHAnsi"/>
                <w:bCs/>
                <w:color w:val="000000" w:themeColor="text1"/>
                <w:sz w:val="22"/>
                <w:szCs w:val="22"/>
              </w:rPr>
            </w:pPr>
            <w:r w:rsidRPr="007F1252">
              <w:rPr>
                <w:rFonts w:asciiTheme="minorHAnsi" w:hAnsiTheme="minorHAnsi" w:cstheme="minorHAnsi"/>
                <w:bCs/>
                <w:color w:val="000000" w:themeColor="text1"/>
                <w:sz w:val="22"/>
                <w:szCs w:val="22"/>
              </w:rPr>
              <w:t>Tato problematika je v rámci OP TAK primárně upravena v SC4.3, částečně i SC4.1</w:t>
            </w:r>
            <w:r w:rsidR="005106F2">
              <w:rPr>
                <w:rFonts w:asciiTheme="minorHAnsi" w:hAnsiTheme="minorHAnsi" w:cstheme="minorHAnsi"/>
                <w:bCs/>
                <w:color w:val="000000" w:themeColor="text1"/>
                <w:sz w:val="22"/>
                <w:szCs w:val="22"/>
              </w:rPr>
              <w:t>.</w:t>
            </w:r>
          </w:p>
        </w:tc>
      </w:tr>
      <w:tr w:rsidR="00120C8A" w:rsidRPr="00B77102" w14:paraId="66C4733F" w14:textId="77777777" w:rsidTr="00120C8A">
        <w:trPr>
          <w:trHeight w:val="340"/>
        </w:trPr>
        <w:tc>
          <w:tcPr>
            <w:tcW w:w="827" w:type="dxa"/>
          </w:tcPr>
          <w:p w14:paraId="4C3FD5D3" w14:textId="77777777" w:rsidR="00120C8A" w:rsidRPr="00120C8A" w:rsidRDefault="00120C8A" w:rsidP="00120C8A">
            <w:pPr>
              <w:pStyle w:val="Odstavecseseznamem"/>
              <w:numPr>
                <w:ilvl w:val="0"/>
                <w:numId w:val="23"/>
              </w:numPr>
              <w:jc w:val="center"/>
              <w:rPr>
                <w:rFonts w:asciiTheme="minorHAnsi" w:hAnsiTheme="minorHAnsi" w:cstheme="minorHAnsi"/>
                <w:b/>
                <w:bCs/>
                <w:sz w:val="22"/>
                <w:szCs w:val="22"/>
              </w:rPr>
            </w:pPr>
          </w:p>
        </w:tc>
        <w:tc>
          <w:tcPr>
            <w:tcW w:w="3073" w:type="dxa"/>
            <w:shd w:val="clear" w:color="auto" w:fill="auto"/>
          </w:tcPr>
          <w:p w14:paraId="47FADC7D" w14:textId="0262CA80" w:rsidR="00120C8A" w:rsidRPr="007F1252" w:rsidRDefault="00120C8A" w:rsidP="00120C8A">
            <w:pPr>
              <w:rPr>
                <w:rFonts w:asciiTheme="minorHAnsi" w:hAnsiTheme="minorHAnsi" w:cstheme="minorHAnsi"/>
                <w:b/>
                <w:bCs/>
                <w:color w:val="000000" w:themeColor="text1"/>
                <w:sz w:val="22"/>
                <w:szCs w:val="22"/>
              </w:rPr>
            </w:pPr>
            <w:r w:rsidRPr="007F1252">
              <w:rPr>
                <w:rFonts w:asciiTheme="minorHAnsi" w:hAnsiTheme="minorHAnsi" w:cstheme="minorHAnsi"/>
                <w:b/>
                <w:bCs/>
                <w:color w:val="000000" w:themeColor="text1"/>
                <w:sz w:val="22"/>
                <w:szCs w:val="22"/>
              </w:rPr>
              <w:t>Doporučující</w:t>
            </w:r>
          </w:p>
        </w:tc>
        <w:tc>
          <w:tcPr>
            <w:tcW w:w="4748" w:type="dxa"/>
            <w:shd w:val="clear" w:color="auto" w:fill="auto"/>
          </w:tcPr>
          <w:p w14:paraId="07B52AEE" w14:textId="77777777" w:rsidR="00120C8A" w:rsidRPr="007F1252" w:rsidRDefault="00120C8A" w:rsidP="00120C8A">
            <w:pPr>
              <w:autoSpaceDE w:val="0"/>
              <w:autoSpaceDN w:val="0"/>
              <w:adjustRightInd w:val="0"/>
              <w:spacing w:after="120"/>
              <w:jc w:val="both"/>
              <w:rPr>
                <w:rFonts w:asciiTheme="minorHAnsi" w:hAnsiTheme="minorHAnsi" w:cstheme="minorHAnsi"/>
                <w:color w:val="000000" w:themeColor="text1"/>
                <w:sz w:val="22"/>
                <w:szCs w:val="22"/>
              </w:rPr>
            </w:pPr>
            <w:r w:rsidRPr="007F1252">
              <w:rPr>
                <w:rFonts w:asciiTheme="minorHAnsi" w:hAnsiTheme="minorHAnsi" w:cstheme="minorHAnsi"/>
                <w:color w:val="000000" w:themeColor="text1"/>
                <w:sz w:val="22"/>
                <w:szCs w:val="22"/>
              </w:rPr>
              <w:t xml:space="preserve">Rada doporučuje vytvořit samostatnou (krátkou) přílohu, která by obsahovala zhodnocení dosavadní podpory z OP PI a OP PIK, primárně pro oblast výzkumu a inovací, rovněž však pokrok v dalších oblastech, protože v nich ve všech se odráží rozvoj/stav inovací v ČR. Rada rovněž doporučuje provést provázání cílů NP </w:t>
            </w:r>
            <w:proofErr w:type="spellStart"/>
            <w:r w:rsidRPr="007F1252">
              <w:rPr>
                <w:rFonts w:asciiTheme="minorHAnsi" w:hAnsiTheme="minorHAnsi" w:cstheme="minorHAnsi"/>
                <w:color w:val="000000" w:themeColor="text1"/>
                <w:sz w:val="22"/>
                <w:szCs w:val="22"/>
              </w:rPr>
              <w:t>VaVaI</w:t>
            </w:r>
            <w:proofErr w:type="spellEnd"/>
            <w:r w:rsidRPr="007F1252">
              <w:rPr>
                <w:rFonts w:asciiTheme="minorHAnsi" w:hAnsiTheme="minorHAnsi" w:cstheme="minorHAnsi"/>
                <w:color w:val="000000" w:themeColor="text1"/>
                <w:sz w:val="22"/>
                <w:szCs w:val="22"/>
              </w:rPr>
              <w:t xml:space="preserve"> 2021+ (zejména cíle 4 a 5) a opatření NP </w:t>
            </w:r>
            <w:proofErr w:type="spellStart"/>
            <w:r w:rsidRPr="007F1252">
              <w:rPr>
                <w:rFonts w:asciiTheme="minorHAnsi" w:hAnsiTheme="minorHAnsi" w:cstheme="minorHAnsi"/>
                <w:color w:val="000000" w:themeColor="text1"/>
                <w:sz w:val="22"/>
                <w:szCs w:val="22"/>
              </w:rPr>
              <w:t>VaVaI</w:t>
            </w:r>
            <w:proofErr w:type="spellEnd"/>
            <w:r w:rsidRPr="007F1252">
              <w:rPr>
                <w:rFonts w:asciiTheme="minorHAnsi" w:hAnsiTheme="minorHAnsi" w:cstheme="minorHAnsi"/>
                <w:color w:val="000000" w:themeColor="text1"/>
                <w:sz w:val="22"/>
                <w:szCs w:val="22"/>
              </w:rPr>
              <w:t xml:space="preserve"> 2021+ s cíli a aktivitami OP TAK. Rada by také uvítala grafické znázornění propojenosti OP JAK a OP TAK, zda – z hlediska NP </w:t>
            </w:r>
            <w:proofErr w:type="spellStart"/>
            <w:r w:rsidRPr="007F1252">
              <w:rPr>
                <w:rFonts w:asciiTheme="minorHAnsi" w:hAnsiTheme="minorHAnsi" w:cstheme="minorHAnsi"/>
                <w:color w:val="000000" w:themeColor="text1"/>
                <w:sz w:val="22"/>
                <w:szCs w:val="22"/>
              </w:rPr>
              <w:t>VaVaI</w:t>
            </w:r>
            <w:proofErr w:type="spellEnd"/>
            <w:r w:rsidRPr="007F1252">
              <w:rPr>
                <w:rFonts w:asciiTheme="minorHAnsi" w:hAnsiTheme="minorHAnsi" w:cstheme="minorHAnsi"/>
                <w:color w:val="000000" w:themeColor="text1"/>
                <w:sz w:val="22"/>
                <w:szCs w:val="22"/>
              </w:rPr>
              <w:t xml:space="preserve"> a slabých míst </w:t>
            </w:r>
            <w:proofErr w:type="spellStart"/>
            <w:r w:rsidRPr="007F1252">
              <w:rPr>
                <w:rFonts w:asciiTheme="minorHAnsi" w:hAnsiTheme="minorHAnsi" w:cstheme="minorHAnsi"/>
                <w:color w:val="000000" w:themeColor="text1"/>
                <w:sz w:val="22"/>
                <w:szCs w:val="22"/>
              </w:rPr>
              <w:t>VaVaI</w:t>
            </w:r>
            <w:proofErr w:type="spellEnd"/>
            <w:r w:rsidRPr="007F1252">
              <w:rPr>
                <w:rFonts w:asciiTheme="minorHAnsi" w:hAnsiTheme="minorHAnsi" w:cstheme="minorHAnsi"/>
                <w:color w:val="000000" w:themeColor="text1"/>
                <w:sz w:val="22"/>
                <w:szCs w:val="22"/>
              </w:rPr>
              <w:t xml:space="preserve"> na základě každoroční analýzy – nevzniknou realizací obou programů bílá místa v podpoře </w:t>
            </w:r>
            <w:proofErr w:type="spellStart"/>
            <w:r w:rsidRPr="007F1252">
              <w:rPr>
                <w:rFonts w:asciiTheme="minorHAnsi" w:hAnsiTheme="minorHAnsi" w:cstheme="minorHAnsi"/>
                <w:color w:val="000000" w:themeColor="text1"/>
                <w:sz w:val="22"/>
                <w:szCs w:val="22"/>
              </w:rPr>
              <w:t>VaVaI</w:t>
            </w:r>
            <w:proofErr w:type="spellEnd"/>
            <w:r w:rsidRPr="007F1252">
              <w:rPr>
                <w:rFonts w:asciiTheme="minorHAnsi" w:hAnsiTheme="minorHAnsi" w:cstheme="minorHAnsi"/>
                <w:color w:val="000000" w:themeColor="text1"/>
                <w:sz w:val="22"/>
                <w:szCs w:val="22"/>
              </w:rPr>
              <w:t xml:space="preserve">, která by kriticky ohrozila dobré fungování celého systému </w:t>
            </w:r>
            <w:proofErr w:type="spellStart"/>
            <w:r w:rsidRPr="007F1252">
              <w:rPr>
                <w:rFonts w:asciiTheme="minorHAnsi" w:hAnsiTheme="minorHAnsi" w:cstheme="minorHAnsi"/>
                <w:color w:val="000000" w:themeColor="text1"/>
                <w:sz w:val="22"/>
                <w:szCs w:val="22"/>
              </w:rPr>
              <w:t>VaVaI</w:t>
            </w:r>
            <w:proofErr w:type="spellEnd"/>
            <w:r w:rsidRPr="007F1252">
              <w:rPr>
                <w:rFonts w:asciiTheme="minorHAnsi" w:hAnsiTheme="minorHAnsi" w:cstheme="minorHAnsi"/>
                <w:color w:val="000000" w:themeColor="text1"/>
                <w:sz w:val="22"/>
                <w:szCs w:val="22"/>
              </w:rPr>
              <w:t xml:space="preserve">. Takto se např. zdá, že z podpory přístupu k vysokorychlostnímu internetu (čímž rozumíme nejméně 100 </w:t>
            </w:r>
            <w:proofErr w:type="spellStart"/>
            <w:r w:rsidRPr="007F1252">
              <w:rPr>
                <w:rFonts w:asciiTheme="minorHAnsi" w:hAnsiTheme="minorHAnsi" w:cstheme="minorHAnsi"/>
                <w:color w:val="000000" w:themeColor="text1"/>
                <w:sz w:val="22"/>
                <w:szCs w:val="22"/>
              </w:rPr>
              <w:t>Mb</w:t>
            </w:r>
            <w:proofErr w:type="spellEnd"/>
            <w:r w:rsidRPr="007F1252">
              <w:rPr>
                <w:rFonts w:asciiTheme="minorHAnsi" w:hAnsiTheme="minorHAnsi" w:cstheme="minorHAnsi"/>
                <w:color w:val="000000" w:themeColor="text1"/>
                <w:sz w:val="22"/>
                <w:szCs w:val="22"/>
              </w:rPr>
              <w:t>/s) vypadávají veřejné instituce, např. vysoké školy a veřejné výzkumné instituce.</w:t>
            </w:r>
          </w:p>
          <w:p w14:paraId="4C3C9898" w14:textId="77777777" w:rsidR="00120C8A" w:rsidRPr="007F1252" w:rsidRDefault="00120C8A" w:rsidP="00120C8A">
            <w:pPr>
              <w:autoSpaceDE w:val="0"/>
              <w:autoSpaceDN w:val="0"/>
              <w:adjustRightInd w:val="0"/>
              <w:spacing w:after="120"/>
              <w:jc w:val="both"/>
              <w:rPr>
                <w:rFonts w:asciiTheme="minorHAnsi" w:hAnsiTheme="minorHAnsi" w:cstheme="minorHAnsi"/>
                <w:color w:val="000000" w:themeColor="text1"/>
                <w:sz w:val="22"/>
                <w:szCs w:val="22"/>
              </w:rPr>
            </w:pPr>
            <w:r w:rsidRPr="007F1252">
              <w:rPr>
                <w:rFonts w:asciiTheme="minorHAnsi" w:hAnsiTheme="minorHAnsi" w:cstheme="minorHAnsi"/>
                <w:color w:val="000000" w:themeColor="text1"/>
                <w:sz w:val="22"/>
                <w:szCs w:val="22"/>
              </w:rPr>
              <w:t>Zdůvodnění:</w:t>
            </w:r>
          </w:p>
          <w:p w14:paraId="7DE98345" w14:textId="5A45566D" w:rsidR="00120C8A" w:rsidRPr="007F1252" w:rsidRDefault="00120C8A" w:rsidP="00120C8A">
            <w:pPr>
              <w:autoSpaceDE w:val="0"/>
              <w:autoSpaceDN w:val="0"/>
              <w:adjustRightInd w:val="0"/>
              <w:spacing w:after="120"/>
              <w:jc w:val="both"/>
              <w:rPr>
                <w:rFonts w:asciiTheme="minorHAnsi" w:hAnsiTheme="minorHAnsi" w:cstheme="minorHAnsi"/>
                <w:color w:val="000000" w:themeColor="text1"/>
                <w:sz w:val="22"/>
                <w:szCs w:val="22"/>
              </w:rPr>
            </w:pPr>
            <w:r w:rsidRPr="007F1252">
              <w:rPr>
                <w:rFonts w:asciiTheme="minorHAnsi" w:hAnsiTheme="minorHAnsi" w:cstheme="minorHAnsi"/>
                <w:color w:val="000000" w:themeColor="text1"/>
                <w:sz w:val="22"/>
                <w:szCs w:val="22"/>
              </w:rPr>
              <w:t xml:space="preserve">Analýza jednotlivých segmentů, které mají </w:t>
            </w:r>
            <w:proofErr w:type="gramStart"/>
            <w:r w:rsidRPr="007F1252">
              <w:rPr>
                <w:rFonts w:asciiTheme="minorHAnsi" w:hAnsiTheme="minorHAnsi" w:cstheme="minorHAnsi"/>
                <w:color w:val="000000" w:themeColor="text1"/>
                <w:sz w:val="22"/>
                <w:szCs w:val="22"/>
              </w:rPr>
              <w:t>být  podporovány</w:t>
            </w:r>
            <w:proofErr w:type="gramEnd"/>
            <w:r w:rsidRPr="007F1252">
              <w:rPr>
                <w:rFonts w:asciiTheme="minorHAnsi" w:hAnsiTheme="minorHAnsi" w:cstheme="minorHAnsi"/>
                <w:color w:val="000000" w:themeColor="text1"/>
                <w:sz w:val="22"/>
                <w:szCs w:val="22"/>
              </w:rPr>
              <w:t xml:space="preserve">, je vedena v takovém duchu, jako by </w:t>
            </w:r>
            <w:r w:rsidRPr="007F1252">
              <w:rPr>
                <w:rFonts w:asciiTheme="minorHAnsi" w:hAnsiTheme="minorHAnsi" w:cstheme="minorHAnsi"/>
                <w:color w:val="000000" w:themeColor="text1"/>
                <w:sz w:val="22"/>
                <w:szCs w:val="22"/>
              </w:rPr>
              <w:lastRenderedPageBreak/>
              <w:t xml:space="preserve">se dosud v ČR nic nedělo – je zřejmé, čeho bylo podporou z OP PI a OP PIK dosaženo? Z popisu stavu by bylo možné dojít k závěru, že změna nebyla významná. Pokud jsme něco neuměli dosud, proč na to máme dostat peníze znova? Z textu vyplývá podpora dílčích aktivit, aniž by byl znám „big </w:t>
            </w:r>
            <w:proofErr w:type="spellStart"/>
            <w:r w:rsidRPr="007F1252">
              <w:rPr>
                <w:rFonts w:asciiTheme="minorHAnsi" w:hAnsiTheme="minorHAnsi" w:cstheme="minorHAnsi"/>
                <w:color w:val="000000" w:themeColor="text1"/>
                <w:sz w:val="22"/>
                <w:szCs w:val="22"/>
              </w:rPr>
              <w:t>picture</w:t>
            </w:r>
            <w:proofErr w:type="spellEnd"/>
            <w:r w:rsidRPr="007F1252">
              <w:rPr>
                <w:rFonts w:asciiTheme="minorHAnsi" w:hAnsiTheme="minorHAnsi" w:cstheme="minorHAnsi"/>
                <w:color w:val="000000" w:themeColor="text1"/>
                <w:sz w:val="22"/>
                <w:szCs w:val="22"/>
              </w:rPr>
              <w:t>“ – příspěvek OP TAK k rozvoji společnosti.</w:t>
            </w:r>
          </w:p>
        </w:tc>
        <w:tc>
          <w:tcPr>
            <w:tcW w:w="5670" w:type="dxa"/>
            <w:shd w:val="clear" w:color="auto" w:fill="auto"/>
          </w:tcPr>
          <w:p w14:paraId="1375EC61" w14:textId="2DFA0381" w:rsidR="00F9673E" w:rsidRPr="00F9673E" w:rsidRDefault="00F9673E" w:rsidP="000947C3">
            <w:pPr>
              <w:jc w:val="both"/>
              <w:rPr>
                <w:rFonts w:asciiTheme="minorHAnsi" w:hAnsiTheme="minorHAnsi" w:cstheme="minorHAnsi"/>
                <w:b/>
                <w:color w:val="000000" w:themeColor="text1"/>
                <w:sz w:val="22"/>
                <w:szCs w:val="22"/>
              </w:rPr>
            </w:pPr>
            <w:r w:rsidRPr="00F9673E">
              <w:rPr>
                <w:rFonts w:asciiTheme="minorHAnsi" w:hAnsiTheme="minorHAnsi" w:cstheme="minorHAnsi"/>
                <w:b/>
                <w:color w:val="000000" w:themeColor="text1"/>
                <w:sz w:val="22"/>
                <w:szCs w:val="22"/>
              </w:rPr>
              <w:lastRenderedPageBreak/>
              <w:t>Vysvětleno.</w:t>
            </w:r>
          </w:p>
          <w:p w14:paraId="1E110CFE" w14:textId="78030925" w:rsidR="000947C3" w:rsidRPr="007F1252" w:rsidRDefault="000947C3" w:rsidP="000947C3">
            <w:pPr>
              <w:jc w:val="both"/>
              <w:rPr>
                <w:rFonts w:asciiTheme="minorHAnsi" w:hAnsiTheme="minorHAnsi" w:cstheme="minorHAnsi"/>
                <w:color w:val="000000" w:themeColor="text1"/>
                <w:sz w:val="22"/>
                <w:szCs w:val="22"/>
              </w:rPr>
            </w:pPr>
            <w:r w:rsidRPr="007F1252">
              <w:rPr>
                <w:rFonts w:asciiTheme="minorHAnsi" w:hAnsiTheme="minorHAnsi" w:cstheme="minorHAnsi"/>
                <w:color w:val="000000" w:themeColor="text1"/>
                <w:sz w:val="22"/>
                <w:szCs w:val="22"/>
              </w:rPr>
              <w:t>Dosavadní podpora je zpracována v evaluačních dokumentech na úrovni jednotlivých S</w:t>
            </w:r>
            <w:r w:rsidR="00533C4E">
              <w:rPr>
                <w:rFonts w:asciiTheme="minorHAnsi" w:hAnsiTheme="minorHAnsi" w:cstheme="minorHAnsi"/>
                <w:color w:val="000000" w:themeColor="text1"/>
                <w:sz w:val="22"/>
                <w:szCs w:val="22"/>
              </w:rPr>
              <w:t>C</w:t>
            </w:r>
            <w:r w:rsidRPr="007F1252">
              <w:rPr>
                <w:rFonts w:asciiTheme="minorHAnsi" w:hAnsiTheme="minorHAnsi" w:cstheme="minorHAnsi"/>
                <w:color w:val="000000" w:themeColor="text1"/>
                <w:sz w:val="22"/>
                <w:szCs w:val="22"/>
              </w:rPr>
              <w:t xml:space="preserve"> 1.1 a 1.2 OP</w:t>
            </w:r>
            <w:r w:rsidR="00533C4E">
              <w:rPr>
                <w:rFonts w:asciiTheme="minorHAnsi" w:hAnsiTheme="minorHAnsi" w:cstheme="minorHAnsi"/>
                <w:color w:val="000000" w:themeColor="text1"/>
                <w:sz w:val="22"/>
                <w:szCs w:val="22"/>
              </w:rPr>
              <w:t xml:space="preserve"> PIK analogických k OP TA</w:t>
            </w:r>
            <w:bookmarkStart w:id="2" w:name="_GoBack"/>
            <w:bookmarkEnd w:id="2"/>
            <w:r w:rsidRPr="007F1252">
              <w:rPr>
                <w:rFonts w:asciiTheme="minorHAnsi" w:hAnsiTheme="minorHAnsi" w:cstheme="minorHAnsi"/>
                <w:color w:val="000000" w:themeColor="text1"/>
                <w:sz w:val="22"/>
                <w:szCs w:val="22"/>
              </w:rPr>
              <w:t>K</w:t>
            </w:r>
            <w:r w:rsidR="00F9673E">
              <w:rPr>
                <w:rFonts w:asciiTheme="minorHAnsi" w:hAnsiTheme="minorHAnsi" w:cstheme="minorHAnsi"/>
                <w:color w:val="000000" w:themeColor="text1"/>
                <w:sz w:val="22"/>
                <w:szCs w:val="22"/>
              </w:rPr>
              <w:t xml:space="preserve"> či dále v rámci </w:t>
            </w:r>
            <w:r w:rsidRPr="007F1252">
              <w:rPr>
                <w:rFonts w:asciiTheme="minorHAnsi" w:hAnsiTheme="minorHAnsi" w:cstheme="minorHAnsi"/>
                <w:color w:val="000000" w:themeColor="text1"/>
                <w:sz w:val="22"/>
                <w:szCs w:val="22"/>
              </w:rPr>
              <w:t>Analýz</w:t>
            </w:r>
            <w:r w:rsidR="00F9673E">
              <w:rPr>
                <w:rFonts w:asciiTheme="minorHAnsi" w:hAnsiTheme="minorHAnsi" w:cstheme="minorHAnsi"/>
                <w:color w:val="000000" w:themeColor="text1"/>
                <w:sz w:val="22"/>
                <w:szCs w:val="22"/>
              </w:rPr>
              <w:t>y</w:t>
            </w:r>
            <w:r w:rsidRPr="007F1252">
              <w:rPr>
                <w:rFonts w:asciiTheme="minorHAnsi" w:hAnsiTheme="minorHAnsi" w:cstheme="minorHAnsi"/>
                <w:color w:val="000000" w:themeColor="text1"/>
                <w:sz w:val="22"/>
                <w:szCs w:val="22"/>
              </w:rPr>
              <w:t xml:space="preserve"> tržní situace a specifikace vhodných forem podpory pro účely přípravy priority 1 - Posilování výkonnosti podniků v oblasti výzkumu, vývoje a inovací a jejich digitální transformace operačního programu zaměřeného na konkurenceschopnost pro období 2021 - 2027</w:t>
            </w:r>
          </w:p>
          <w:p w14:paraId="0F2C1F61" w14:textId="77777777" w:rsidR="000947C3" w:rsidRPr="007F1252" w:rsidRDefault="00533C4E" w:rsidP="000947C3">
            <w:pPr>
              <w:jc w:val="both"/>
              <w:rPr>
                <w:rFonts w:asciiTheme="minorHAnsi" w:hAnsiTheme="minorHAnsi" w:cstheme="minorHAnsi"/>
                <w:color w:val="000000" w:themeColor="text1"/>
                <w:sz w:val="22"/>
                <w:szCs w:val="22"/>
              </w:rPr>
            </w:pPr>
            <w:hyperlink r:id="rId7" w:history="1">
              <w:r w:rsidR="000947C3" w:rsidRPr="007F1252">
                <w:rPr>
                  <w:rStyle w:val="Hypertextovodkaz"/>
                  <w:rFonts w:asciiTheme="minorHAnsi" w:hAnsiTheme="minorHAnsi" w:cstheme="minorHAnsi"/>
                  <w:color w:val="000000" w:themeColor="text1"/>
                  <w:sz w:val="22"/>
                  <w:szCs w:val="22"/>
                </w:rPr>
                <w:t>https://www.mpo.cz/cz/podnikani/dotace-a-podpora-podnikani/oppik-2014-2020/evaluace-a-analyzy/evaluace-a-jine-analyzy--157435/</w:t>
              </w:r>
            </w:hyperlink>
          </w:p>
          <w:p w14:paraId="2ABC7B12" w14:textId="77777777" w:rsidR="000947C3" w:rsidRPr="007F1252" w:rsidRDefault="000947C3" w:rsidP="000947C3">
            <w:pPr>
              <w:jc w:val="both"/>
              <w:rPr>
                <w:rFonts w:asciiTheme="minorHAnsi" w:hAnsiTheme="minorHAnsi" w:cstheme="minorHAnsi"/>
                <w:color w:val="000000" w:themeColor="text1"/>
                <w:sz w:val="22"/>
                <w:szCs w:val="22"/>
              </w:rPr>
            </w:pPr>
          </w:p>
          <w:p w14:paraId="1BCA292C" w14:textId="77777777" w:rsidR="000947C3" w:rsidRPr="007F1252" w:rsidRDefault="000947C3" w:rsidP="000947C3">
            <w:pPr>
              <w:jc w:val="both"/>
              <w:rPr>
                <w:rFonts w:asciiTheme="minorHAnsi" w:hAnsiTheme="minorHAnsi" w:cstheme="minorHAnsi"/>
                <w:color w:val="000000" w:themeColor="text1"/>
                <w:sz w:val="22"/>
                <w:szCs w:val="22"/>
              </w:rPr>
            </w:pPr>
            <w:r w:rsidRPr="007F1252">
              <w:rPr>
                <w:rFonts w:asciiTheme="minorHAnsi" w:hAnsiTheme="minorHAnsi" w:cstheme="minorHAnsi"/>
                <w:color w:val="000000" w:themeColor="text1"/>
                <w:sz w:val="22"/>
                <w:szCs w:val="22"/>
              </w:rPr>
              <w:t xml:space="preserve">Všechny aktivity OP TAK v oblasti </w:t>
            </w:r>
            <w:proofErr w:type="spellStart"/>
            <w:r w:rsidRPr="007F1252">
              <w:rPr>
                <w:rFonts w:asciiTheme="minorHAnsi" w:hAnsiTheme="minorHAnsi" w:cstheme="minorHAnsi"/>
                <w:color w:val="000000" w:themeColor="text1"/>
                <w:sz w:val="22"/>
                <w:szCs w:val="22"/>
              </w:rPr>
              <w:t>VaI</w:t>
            </w:r>
            <w:proofErr w:type="spellEnd"/>
            <w:r w:rsidRPr="007F1252">
              <w:rPr>
                <w:rFonts w:asciiTheme="minorHAnsi" w:hAnsiTheme="minorHAnsi" w:cstheme="minorHAnsi"/>
                <w:color w:val="000000" w:themeColor="text1"/>
                <w:sz w:val="22"/>
                <w:szCs w:val="22"/>
              </w:rPr>
              <w:t xml:space="preserve"> budou navázány na prioritní oblasti RIS3, cíle ERDF navazují na zavádění a posílení pokročilých technologií, a v OP TAK tímto navazujeme na cíle NP </w:t>
            </w:r>
            <w:proofErr w:type="spellStart"/>
            <w:r w:rsidRPr="007F1252">
              <w:rPr>
                <w:rFonts w:asciiTheme="minorHAnsi" w:hAnsiTheme="minorHAnsi" w:cstheme="minorHAnsi"/>
                <w:color w:val="000000" w:themeColor="text1"/>
                <w:sz w:val="22"/>
                <w:szCs w:val="22"/>
              </w:rPr>
              <w:t>VaVaI</w:t>
            </w:r>
            <w:proofErr w:type="spellEnd"/>
            <w:r w:rsidRPr="007F1252">
              <w:rPr>
                <w:rFonts w:asciiTheme="minorHAnsi" w:hAnsiTheme="minorHAnsi" w:cstheme="minorHAnsi"/>
                <w:color w:val="000000" w:themeColor="text1"/>
                <w:sz w:val="22"/>
                <w:szCs w:val="22"/>
              </w:rPr>
              <w:t>.</w:t>
            </w:r>
          </w:p>
          <w:p w14:paraId="359A4956" w14:textId="77777777" w:rsidR="000947C3" w:rsidRPr="007F1252" w:rsidRDefault="000947C3" w:rsidP="000947C3">
            <w:pPr>
              <w:jc w:val="both"/>
              <w:rPr>
                <w:rFonts w:asciiTheme="minorHAnsi" w:hAnsiTheme="minorHAnsi" w:cstheme="minorHAnsi"/>
                <w:color w:val="000000" w:themeColor="text1"/>
                <w:sz w:val="22"/>
                <w:szCs w:val="22"/>
              </w:rPr>
            </w:pPr>
          </w:p>
          <w:p w14:paraId="7AFC4599" w14:textId="77777777" w:rsidR="000947C3" w:rsidRPr="007F1252" w:rsidRDefault="000947C3" w:rsidP="000947C3">
            <w:pPr>
              <w:jc w:val="both"/>
              <w:rPr>
                <w:rFonts w:asciiTheme="minorHAnsi" w:hAnsiTheme="minorHAnsi" w:cstheme="minorHAnsi"/>
                <w:color w:val="000000" w:themeColor="text1"/>
                <w:sz w:val="22"/>
                <w:szCs w:val="22"/>
              </w:rPr>
            </w:pPr>
            <w:r w:rsidRPr="007F1252">
              <w:rPr>
                <w:rFonts w:asciiTheme="minorHAnsi" w:hAnsiTheme="minorHAnsi" w:cstheme="minorHAnsi"/>
                <w:color w:val="000000" w:themeColor="text1"/>
                <w:sz w:val="22"/>
                <w:szCs w:val="22"/>
              </w:rPr>
              <w:t>Propojenost OP TAK a OP JAK je dána tabulkou překryvů, která je součástí Dohody o Partnerství. V této oblasti bylo podepsáno i Memorandum, a v současnosti dolaďujeme poslední oblasti pro spolupráci.</w:t>
            </w:r>
          </w:p>
          <w:p w14:paraId="3B070B39" w14:textId="77777777" w:rsidR="000947C3" w:rsidRPr="007F1252" w:rsidRDefault="000947C3" w:rsidP="000947C3">
            <w:pPr>
              <w:jc w:val="both"/>
              <w:rPr>
                <w:rFonts w:asciiTheme="minorHAnsi" w:hAnsiTheme="minorHAnsi" w:cstheme="minorHAnsi"/>
                <w:color w:val="000000" w:themeColor="text1"/>
                <w:sz w:val="22"/>
                <w:szCs w:val="22"/>
              </w:rPr>
            </w:pPr>
          </w:p>
          <w:p w14:paraId="1846614D" w14:textId="77777777" w:rsidR="000947C3" w:rsidRPr="007F1252" w:rsidRDefault="000947C3" w:rsidP="000947C3">
            <w:pPr>
              <w:jc w:val="both"/>
              <w:rPr>
                <w:rFonts w:asciiTheme="minorHAnsi" w:hAnsiTheme="minorHAnsi" w:cstheme="minorHAnsi"/>
                <w:color w:val="000000" w:themeColor="text1"/>
                <w:sz w:val="22"/>
                <w:szCs w:val="22"/>
              </w:rPr>
            </w:pPr>
            <w:r w:rsidRPr="007F1252">
              <w:rPr>
                <w:rFonts w:asciiTheme="minorHAnsi" w:hAnsiTheme="minorHAnsi" w:cstheme="minorHAnsi"/>
                <w:color w:val="000000" w:themeColor="text1"/>
                <w:sz w:val="22"/>
                <w:szCs w:val="22"/>
              </w:rPr>
              <w:t>K podpoře přístupu k vysokorychlostnímu internetu:</w:t>
            </w:r>
          </w:p>
          <w:p w14:paraId="5F0F8769" w14:textId="77777777" w:rsidR="000947C3" w:rsidRPr="007F1252" w:rsidRDefault="000947C3" w:rsidP="000947C3">
            <w:pPr>
              <w:jc w:val="both"/>
              <w:rPr>
                <w:rFonts w:asciiTheme="minorHAnsi" w:hAnsiTheme="minorHAnsi" w:cstheme="minorHAnsi"/>
                <w:color w:val="000000" w:themeColor="text1"/>
                <w:sz w:val="22"/>
                <w:szCs w:val="22"/>
              </w:rPr>
            </w:pPr>
            <w:r w:rsidRPr="007F1252">
              <w:rPr>
                <w:rFonts w:asciiTheme="minorHAnsi" w:hAnsiTheme="minorHAnsi" w:cstheme="minorHAnsi"/>
                <w:color w:val="000000" w:themeColor="text1"/>
                <w:sz w:val="22"/>
                <w:szCs w:val="22"/>
              </w:rPr>
              <w:t xml:space="preserve">Současný OP PIK byl zaměřen primárně na připojování domácností. Nový program OP TAK bude zahrnovat všechny nepokrytá místa, tedy jak </w:t>
            </w:r>
            <w:proofErr w:type="gramStart"/>
            <w:r w:rsidRPr="007F1252">
              <w:rPr>
                <w:rFonts w:asciiTheme="minorHAnsi" w:hAnsiTheme="minorHAnsi" w:cstheme="minorHAnsi"/>
                <w:color w:val="000000" w:themeColor="text1"/>
                <w:sz w:val="22"/>
                <w:szCs w:val="22"/>
              </w:rPr>
              <w:t>domácnosti</w:t>
            </w:r>
            <w:proofErr w:type="gramEnd"/>
            <w:r w:rsidRPr="007F1252">
              <w:rPr>
                <w:rFonts w:asciiTheme="minorHAnsi" w:hAnsiTheme="minorHAnsi" w:cstheme="minorHAnsi"/>
                <w:color w:val="000000" w:themeColor="text1"/>
                <w:sz w:val="22"/>
                <w:szCs w:val="22"/>
              </w:rPr>
              <w:t xml:space="preserve"> tak i socioekonomické aktéry - tedy i vysoké školy a veřejné výzkumné instituce.</w:t>
            </w:r>
          </w:p>
          <w:p w14:paraId="025DE26F" w14:textId="1053DF32" w:rsidR="000947C3" w:rsidRPr="007F1252" w:rsidRDefault="000947C3" w:rsidP="00120C8A">
            <w:pPr>
              <w:jc w:val="both"/>
              <w:rPr>
                <w:rFonts w:asciiTheme="minorHAnsi" w:hAnsiTheme="minorHAnsi" w:cstheme="minorHAnsi"/>
                <w:b/>
                <w:bCs/>
                <w:color w:val="000000" w:themeColor="text1"/>
                <w:sz w:val="22"/>
                <w:szCs w:val="22"/>
              </w:rPr>
            </w:pPr>
          </w:p>
        </w:tc>
      </w:tr>
      <w:tr w:rsidR="00120C8A" w:rsidRPr="00B77102" w14:paraId="448C35BC" w14:textId="77777777" w:rsidTr="00120C8A">
        <w:trPr>
          <w:trHeight w:val="340"/>
        </w:trPr>
        <w:tc>
          <w:tcPr>
            <w:tcW w:w="827" w:type="dxa"/>
          </w:tcPr>
          <w:p w14:paraId="19861733" w14:textId="77777777" w:rsidR="00120C8A" w:rsidRPr="00120C8A" w:rsidRDefault="00120C8A" w:rsidP="00120C8A">
            <w:pPr>
              <w:pStyle w:val="Odstavecseseznamem"/>
              <w:numPr>
                <w:ilvl w:val="0"/>
                <w:numId w:val="23"/>
              </w:numPr>
              <w:jc w:val="center"/>
              <w:rPr>
                <w:rFonts w:asciiTheme="minorHAnsi" w:hAnsiTheme="minorHAnsi" w:cstheme="minorHAnsi"/>
                <w:b/>
                <w:bCs/>
                <w:sz w:val="22"/>
                <w:szCs w:val="22"/>
              </w:rPr>
            </w:pPr>
          </w:p>
        </w:tc>
        <w:tc>
          <w:tcPr>
            <w:tcW w:w="3073" w:type="dxa"/>
            <w:shd w:val="clear" w:color="auto" w:fill="auto"/>
          </w:tcPr>
          <w:p w14:paraId="4834CBCE" w14:textId="22FF4241" w:rsidR="00120C8A" w:rsidRPr="007F1252" w:rsidRDefault="00120C8A" w:rsidP="00120C8A">
            <w:pPr>
              <w:rPr>
                <w:rFonts w:asciiTheme="minorHAnsi" w:hAnsiTheme="minorHAnsi" w:cstheme="minorHAnsi"/>
                <w:b/>
                <w:bCs/>
                <w:color w:val="000000" w:themeColor="text1"/>
                <w:sz w:val="22"/>
                <w:szCs w:val="22"/>
              </w:rPr>
            </w:pPr>
            <w:r w:rsidRPr="007F1252">
              <w:rPr>
                <w:rFonts w:asciiTheme="minorHAnsi" w:hAnsiTheme="minorHAnsi" w:cstheme="minorHAnsi"/>
                <w:b/>
                <w:bCs/>
                <w:color w:val="000000" w:themeColor="text1"/>
                <w:sz w:val="22"/>
                <w:szCs w:val="22"/>
              </w:rPr>
              <w:t>Doporučující</w:t>
            </w:r>
          </w:p>
        </w:tc>
        <w:tc>
          <w:tcPr>
            <w:tcW w:w="4748" w:type="dxa"/>
            <w:shd w:val="clear" w:color="auto" w:fill="auto"/>
          </w:tcPr>
          <w:p w14:paraId="2C7B743B" w14:textId="32614FF6" w:rsidR="00120C8A" w:rsidRPr="007F1252" w:rsidRDefault="00120C8A" w:rsidP="00120C8A">
            <w:pPr>
              <w:autoSpaceDE w:val="0"/>
              <w:autoSpaceDN w:val="0"/>
              <w:adjustRightInd w:val="0"/>
              <w:spacing w:after="120"/>
              <w:jc w:val="both"/>
              <w:rPr>
                <w:rFonts w:asciiTheme="minorHAnsi" w:hAnsiTheme="minorHAnsi" w:cstheme="minorHAnsi"/>
                <w:color w:val="000000" w:themeColor="text1"/>
                <w:sz w:val="22"/>
                <w:szCs w:val="22"/>
              </w:rPr>
            </w:pPr>
            <w:r w:rsidRPr="007F1252">
              <w:rPr>
                <w:rFonts w:asciiTheme="minorHAnsi" w:hAnsiTheme="minorHAnsi" w:cstheme="minorHAnsi"/>
                <w:color w:val="000000" w:themeColor="text1"/>
                <w:sz w:val="22"/>
                <w:szCs w:val="22"/>
              </w:rPr>
              <w:t>Rada žádá o vysvětlení, proč na Seznamu členů Platformy pro přípravu OP TAK ani na seznamu členů PS pro rozpracování jednotlivých SC nikde není Akademie věd České republiky.</w:t>
            </w:r>
          </w:p>
        </w:tc>
        <w:tc>
          <w:tcPr>
            <w:tcW w:w="5670" w:type="dxa"/>
            <w:shd w:val="clear" w:color="auto" w:fill="auto"/>
          </w:tcPr>
          <w:p w14:paraId="677ADF4C" w14:textId="68BF669B" w:rsidR="009B5522" w:rsidRPr="007F1252" w:rsidRDefault="00FE544E" w:rsidP="009B5522">
            <w:pPr>
              <w:jc w:val="both"/>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Akceptováno</w:t>
            </w:r>
            <w:r w:rsidR="009B5522" w:rsidRPr="007F1252">
              <w:rPr>
                <w:rFonts w:asciiTheme="minorHAnsi" w:hAnsiTheme="minorHAnsi" w:cstheme="minorHAnsi"/>
                <w:b/>
                <w:bCs/>
                <w:color w:val="000000" w:themeColor="text1"/>
                <w:sz w:val="22"/>
                <w:szCs w:val="22"/>
              </w:rPr>
              <w:t>.</w:t>
            </w:r>
          </w:p>
          <w:p w14:paraId="154665C6" w14:textId="77777777" w:rsidR="00FE544E" w:rsidRDefault="00DC3CCF" w:rsidP="00120C8A">
            <w:pPr>
              <w:jc w:val="both"/>
              <w:rPr>
                <w:rFonts w:asciiTheme="minorHAnsi" w:hAnsiTheme="minorHAnsi" w:cstheme="minorHAnsi"/>
                <w:bCs/>
                <w:color w:val="000000" w:themeColor="text1"/>
                <w:sz w:val="22"/>
                <w:szCs w:val="22"/>
              </w:rPr>
            </w:pPr>
            <w:r w:rsidRPr="007F1252">
              <w:rPr>
                <w:rFonts w:asciiTheme="minorHAnsi" w:hAnsiTheme="minorHAnsi" w:cstheme="minorHAnsi"/>
                <w:bCs/>
                <w:color w:val="000000" w:themeColor="text1"/>
                <w:sz w:val="22"/>
                <w:szCs w:val="22"/>
              </w:rPr>
              <w:t>Akademie věd je v rámci Platformy či PS k SC1.1 zastoupena prostřednictvím TC AV ČR</w:t>
            </w:r>
            <w:r w:rsidR="00E84675" w:rsidRPr="007F1252">
              <w:rPr>
                <w:rFonts w:asciiTheme="minorHAnsi" w:hAnsiTheme="minorHAnsi" w:cstheme="minorHAnsi"/>
                <w:bCs/>
                <w:color w:val="000000" w:themeColor="text1"/>
                <w:sz w:val="22"/>
                <w:szCs w:val="22"/>
              </w:rPr>
              <w:t>, tzn. sdružením, jehož členy</w:t>
            </w:r>
            <w:r w:rsidR="00E84675" w:rsidRPr="007F1252">
              <w:rPr>
                <w:rFonts w:asciiTheme="minorHAnsi" w:hAnsiTheme="minorHAnsi" w:cstheme="minorHAnsi"/>
                <w:color w:val="000000" w:themeColor="text1"/>
                <w:sz w:val="22"/>
                <w:szCs w:val="22"/>
                <w:shd w:val="clear" w:color="auto" w:fill="FFFFFF"/>
              </w:rPr>
              <w:t xml:space="preserve"> jsou pracoviště Akademie věd ČR</w:t>
            </w:r>
            <w:r w:rsidRPr="007F1252">
              <w:rPr>
                <w:rFonts w:asciiTheme="minorHAnsi" w:hAnsiTheme="minorHAnsi" w:cstheme="minorHAnsi"/>
                <w:bCs/>
                <w:color w:val="000000" w:themeColor="text1"/>
                <w:sz w:val="22"/>
                <w:szCs w:val="22"/>
              </w:rPr>
              <w:t>. Ačkoliv je zastoupení partnerů při přípravě OP TAK ještě širší, než tomu bylo v případě přípravy OP PIK, tak zastoupení TC AV ČR vychází ze zkušeností s přípravou OP PIK.</w:t>
            </w:r>
            <w:r w:rsidR="00FE544E">
              <w:rPr>
                <w:rFonts w:asciiTheme="minorHAnsi" w:hAnsiTheme="minorHAnsi" w:cstheme="minorHAnsi"/>
                <w:bCs/>
                <w:color w:val="000000" w:themeColor="text1"/>
                <w:sz w:val="22"/>
                <w:szCs w:val="22"/>
              </w:rPr>
              <w:t xml:space="preserve"> </w:t>
            </w:r>
          </w:p>
          <w:p w14:paraId="1726BF79" w14:textId="0B3B7BE1" w:rsidR="009B5522" w:rsidRPr="00FE544E" w:rsidRDefault="00FE544E" w:rsidP="00120C8A">
            <w:pPr>
              <w:jc w:val="both"/>
              <w:rPr>
                <w:rFonts w:asciiTheme="minorHAnsi" w:hAnsiTheme="minorHAnsi" w:cstheme="minorHAnsi"/>
                <w:b/>
                <w:bCs/>
                <w:color w:val="000000" w:themeColor="text1"/>
                <w:sz w:val="22"/>
                <w:szCs w:val="22"/>
              </w:rPr>
            </w:pPr>
            <w:r w:rsidRPr="00FE544E">
              <w:rPr>
                <w:rFonts w:asciiTheme="minorHAnsi" w:hAnsiTheme="minorHAnsi" w:cstheme="minorHAnsi"/>
                <w:b/>
                <w:bCs/>
                <w:color w:val="000000" w:themeColor="text1"/>
                <w:sz w:val="22"/>
                <w:szCs w:val="22"/>
              </w:rPr>
              <w:t xml:space="preserve">Nicméně s ohledem na </w:t>
            </w:r>
            <w:r>
              <w:rPr>
                <w:rFonts w:asciiTheme="minorHAnsi" w:hAnsiTheme="minorHAnsi" w:cstheme="minorHAnsi"/>
                <w:b/>
                <w:bCs/>
                <w:color w:val="000000" w:themeColor="text1"/>
                <w:sz w:val="22"/>
                <w:szCs w:val="22"/>
              </w:rPr>
              <w:t>žádost/</w:t>
            </w:r>
            <w:r w:rsidRPr="00FE544E">
              <w:rPr>
                <w:rFonts w:asciiTheme="minorHAnsi" w:hAnsiTheme="minorHAnsi" w:cstheme="minorHAnsi"/>
                <w:b/>
                <w:bCs/>
                <w:color w:val="000000" w:themeColor="text1"/>
                <w:sz w:val="22"/>
                <w:szCs w:val="22"/>
              </w:rPr>
              <w:t xml:space="preserve">připomínku AV ČR </w:t>
            </w:r>
            <w:r>
              <w:rPr>
                <w:rFonts w:asciiTheme="minorHAnsi" w:hAnsiTheme="minorHAnsi" w:cstheme="minorHAnsi"/>
                <w:b/>
                <w:bCs/>
                <w:color w:val="000000" w:themeColor="text1"/>
                <w:sz w:val="22"/>
                <w:szCs w:val="22"/>
              </w:rPr>
              <w:t xml:space="preserve">uplatněnou </w:t>
            </w:r>
            <w:r w:rsidRPr="00FE544E">
              <w:rPr>
                <w:rFonts w:asciiTheme="minorHAnsi" w:hAnsiTheme="minorHAnsi" w:cstheme="minorHAnsi"/>
                <w:b/>
                <w:bCs/>
                <w:color w:val="000000" w:themeColor="text1"/>
                <w:sz w:val="22"/>
                <w:szCs w:val="22"/>
              </w:rPr>
              <w:t>v rámci MPŘ dodatečně zahrneme AV ČR mezi členy PS k SC1.1.</w:t>
            </w:r>
          </w:p>
        </w:tc>
      </w:tr>
      <w:tr w:rsidR="00120C8A" w:rsidRPr="00B77102" w14:paraId="3CE2134C" w14:textId="77777777" w:rsidTr="00120C8A">
        <w:trPr>
          <w:trHeight w:val="340"/>
        </w:trPr>
        <w:tc>
          <w:tcPr>
            <w:tcW w:w="827" w:type="dxa"/>
          </w:tcPr>
          <w:p w14:paraId="614A3260" w14:textId="77777777" w:rsidR="00120C8A" w:rsidRPr="00120C8A" w:rsidRDefault="00120C8A" w:rsidP="00120C8A">
            <w:pPr>
              <w:pStyle w:val="Odstavecseseznamem"/>
              <w:numPr>
                <w:ilvl w:val="0"/>
                <w:numId w:val="23"/>
              </w:numPr>
              <w:jc w:val="center"/>
              <w:rPr>
                <w:rFonts w:asciiTheme="minorHAnsi" w:hAnsiTheme="minorHAnsi" w:cstheme="minorHAnsi"/>
                <w:b/>
                <w:bCs/>
                <w:sz w:val="22"/>
                <w:szCs w:val="22"/>
              </w:rPr>
            </w:pPr>
          </w:p>
        </w:tc>
        <w:tc>
          <w:tcPr>
            <w:tcW w:w="3073" w:type="dxa"/>
            <w:shd w:val="clear" w:color="auto" w:fill="auto"/>
          </w:tcPr>
          <w:p w14:paraId="767B7DA4" w14:textId="359D8278" w:rsidR="00120C8A" w:rsidRPr="007F1252" w:rsidRDefault="00120C8A" w:rsidP="00120C8A">
            <w:pPr>
              <w:rPr>
                <w:rFonts w:asciiTheme="minorHAnsi" w:hAnsiTheme="minorHAnsi" w:cstheme="minorHAnsi"/>
                <w:b/>
                <w:bCs/>
                <w:color w:val="000000" w:themeColor="text1"/>
                <w:sz w:val="22"/>
                <w:szCs w:val="22"/>
              </w:rPr>
            </w:pPr>
            <w:r w:rsidRPr="007F1252">
              <w:rPr>
                <w:rFonts w:asciiTheme="minorHAnsi" w:hAnsiTheme="minorHAnsi" w:cstheme="minorHAnsi"/>
                <w:b/>
                <w:bCs/>
                <w:color w:val="000000" w:themeColor="text1"/>
                <w:sz w:val="22"/>
                <w:szCs w:val="22"/>
              </w:rPr>
              <w:t>Doporučující</w:t>
            </w:r>
          </w:p>
        </w:tc>
        <w:tc>
          <w:tcPr>
            <w:tcW w:w="4748" w:type="dxa"/>
            <w:shd w:val="clear" w:color="auto" w:fill="auto"/>
          </w:tcPr>
          <w:p w14:paraId="7A8FE493" w14:textId="51A7EDF9" w:rsidR="00120C8A" w:rsidRPr="007F1252" w:rsidRDefault="00120C8A" w:rsidP="00120C8A">
            <w:pPr>
              <w:autoSpaceDE w:val="0"/>
              <w:autoSpaceDN w:val="0"/>
              <w:adjustRightInd w:val="0"/>
              <w:spacing w:after="120"/>
              <w:jc w:val="both"/>
              <w:rPr>
                <w:rFonts w:asciiTheme="minorHAnsi" w:hAnsiTheme="minorHAnsi" w:cstheme="minorHAnsi"/>
                <w:color w:val="000000" w:themeColor="text1"/>
                <w:sz w:val="22"/>
                <w:szCs w:val="22"/>
              </w:rPr>
            </w:pPr>
            <w:r w:rsidRPr="007F1252">
              <w:rPr>
                <w:rFonts w:asciiTheme="minorHAnsi" w:hAnsiTheme="minorHAnsi" w:cstheme="minorHAnsi"/>
                <w:color w:val="000000" w:themeColor="text1"/>
                <w:sz w:val="22"/>
                <w:szCs w:val="22"/>
              </w:rPr>
              <w:t>Rada doporučuje sjednotit míru detailu podporovaných aktivit u jednotlivých specifických cílů. Některé jsou popsány velmi obecně, jiné zbytečně detailně.</w:t>
            </w:r>
          </w:p>
        </w:tc>
        <w:tc>
          <w:tcPr>
            <w:tcW w:w="5670" w:type="dxa"/>
            <w:shd w:val="clear" w:color="auto" w:fill="auto"/>
          </w:tcPr>
          <w:p w14:paraId="139ECC3F" w14:textId="77777777" w:rsidR="009B5522" w:rsidRPr="007F1252" w:rsidRDefault="009B5522" w:rsidP="009B5522">
            <w:pPr>
              <w:jc w:val="both"/>
              <w:rPr>
                <w:rFonts w:asciiTheme="minorHAnsi" w:hAnsiTheme="minorHAnsi" w:cstheme="minorHAnsi"/>
                <w:b/>
                <w:bCs/>
                <w:color w:val="000000" w:themeColor="text1"/>
                <w:sz w:val="22"/>
                <w:szCs w:val="22"/>
              </w:rPr>
            </w:pPr>
            <w:r w:rsidRPr="007F1252">
              <w:rPr>
                <w:rFonts w:asciiTheme="minorHAnsi" w:hAnsiTheme="minorHAnsi" w:cstheme="minorHAnsi"/>
                <w:b/>
                <w:bCs/>
                <w:color w:val="000000" w:themeColor="text1"/>
                <w:sz w:val="22"/>
                <w:szCs w:val="22"/>
              </w:rPr>
              <w:t>Vysvětleno.</w:t>
            </w:r>
          </w:p>
          <w:p w14:paraId="7D40E019" w14:textId="548D1945" w:rsidR="009B5522" w:rsidRPr="007F1252" w:rsidRDefault="00C63E5F" w:rsidP="00120C8A">
            <w:pPr>
              <w:jc w:val="both"/>
              <w:rPr>
                <w:rFonts w:asciiTheme="minorHAnsi" w:hAnsiTheme="minorHAnsi" w:cstheme="minorHAnsi"/>
                <w:bCs/>
                <w:color w:val="000000" w:themeColor="text1"/>
                <w:sz w:val="22"/>
                <w:szCs w:val="22"/>
              </w:rPr>
            </w:pPr>
            <w:r w:rsidRPr="007F1252">
              <w:rPr>
                <w:rFonts w:asciiTheme="minorHAnsi" w:hAnsiTheme="minorHAnsi" w:cstheme="minorHAnsi"/>
                <w:bCs/>
                <w:color w:val="000000" w:themeColor="text1"/>
                <w:sz w:val="22"/>
                <w:szCs w:val="22"/>
              </w:rPr>
              <w:t xml:space="preserve">Úroveň zpracování jednotlivých SC </w:t>
            </w:r>
            <w:r w:rsidR="00733D12" w:rsidRPr="007F1252">
              <w:rPr>
                <w:rFonts w:asciiTheme="minorHAnsi" w:hAnsiTheme="minorHAnsi" w:cstheme="minorHAnsi"/>
                <w:bCs/>
                <w:color w:val="000000" w:themeColor="text1"/>
                <w:sz w:val="22"/>
                <w:szCs w:val="22"/>
              </w:rPr>
              <w:t xml:space="preserve">primárně </w:t>
            </w:r>
            <w:r w:rsidRPr="007F1252">
              <w:rPr>
                <w:rFonts w:asciiTheme="minorHAnsi" w:hAnsiTheme="minorHAnsi" w:cstheme="minorHAnsi"/>
                <w:bCs/>
                <w:color w:val="000000" w:themeColor="text1"/>
                <w:sz w:val="22"/>
                <w:szCs w:val="22"/>
              </w:rPr>
              <w:t>odráží konkrétní požadavky EK</w:t>
            </w:r>
            <w:r w:rsidR="00733D12" w:rsidRPr="007F1252">
              <w:rPr>
                <w:rFonts w:asciiTheme="minorHAnsi" w:hAnsiTheme="minorHAnsi" w:cstheme="minorHAnsi"/>
                <w:bCs/>
                <w:color w:val="000000" w:themeColor="text1"/>
                <w:sz w:val="22"/>
                <w:szCs w:val="22"/>
              </w:rPr>
              <w:t>, příp.</w:t>
            </w:r>
            <w:r w:rsidRPr="007F1252">
              <w:rPr>
                <w:rFonts w:asciiTheme="minorHAnsi" w:hAnsiTheme="minorHAnsi" w:cstheme="minorHAnsi"/>
                <w:bCs/>
                <w:color w:val="000000" w:themeColor="text1"/>
                <w:sz w:val="22"/>
                <w:szCs w:val="22"/>
              </w:rPr>
              <w:t xml:space="preserve"> samotných partnerů</w:t>
            </w:r>
            <w:r w:rsidR="00733D12" w:rsidRPr="007F1252">
              <w:rPr>
                <w:rFonts w:asciiTheme="minorHAnsi" w:hAnsiTheme="minorHAnsi" w:cstheme="minorHAnsi"/>
                <w:bCs/>
                <w:color w:val="000000" w:themeColor="text1"/>
                <w:sz w:val="22"/>
                <w:szCs w:val="22"/>
              </w:rPr>
              <w:t>, vzešlých z četných připomínkování materiálu</w:t>
            </w:r>
            <w:r w:rsidRPr="007F1252">
              <w:rPr>
                <w:rFonts w:asciiTheme="minorHAnsi" w:hAnsiTheme="minorHAnsi" w:cstheme="minorHAnsi"/>
                <w:bCs/>
                <w:color w:val="000000" w:themeColor="text1"/>
                <w:sz w:val="22"/>
                <w:szCs w:val="22"/>
              </w:rPr>
              <w:t xml:space="preserve">, s ohledem na různorodost problematiky </w:t>
            </w:r>
            <w:r w:rsidR="00733D12" w:rsidRPr="007F1252">
              <w:rPr>
                <w:rFonts w:asciiTheme="minorHAnsi" w:hAnsiTheme="minorHAnsi" w:cstheme="minorHAnsi"/>
                <w:bCs/>
                <w:color w:val="000000" w:themeColor="text1"/>
                <w:sz w:val="22"/>
                <w:szCs w:val="22"/>
              </w:rPr>
              <w:t xml:space="preserve">navíc </w:t>
            </w:r>
            <w:r w:rsidRPr="007F1252">
              <w:rPr>
                <w:rFonts w:asciiTheme="minorHAnsi" w:hAnsiTheme="minorHAnsi" w:cstheme="minorHAnsi"/>
                <w:bCs/>
                <w:color w:val="000000" w:themeColor="text1"/>
                <w:sz w:val="22"/>
                <w:szCs w:val="22"/>
              </w:rPr>
              <w:t>nelze zvolit jednotný/uniformní koncept.</w:t>
            </w:r>
          </w:p>
        </w:tc>
      </w:tr>
      <w:tr w:rsidR="00120C8A" w:rsidRPr="00B77102" w14:paraId="5D046DCB" w14:textId="77777777" w:rsidTr="00120C8A">
        <w:trPr>
          <w:trHeight w:val="340"/>
        </w:trPr>
        <w:tc>
          <w:tcPr>
            <w:tcW w:w="827" w:type="dxa"/>
          </w:tcPr>
          <w:p w14:paraId="480B19F5" w14:textId="77777777" w:rsidR="00120C8A" w:rsidRPr="00120C8A" w:rsidRDefault="00120C8A" w:rsidP="00120C8A">
            <w:pPr>
              <w:pStyle w:val="Odstavecseseznamem"/>
              <w:numPr>
                <w:ilvl w:val="0"/>
                <w:numId w:val="23"/>
              </w:numPr>
              <w:jc w:val="center"/>
              <w:rPr>
                <w:rFonts w:asciiTheme="minorHAnsi" w:hAnsiTheme="minorHAnsi" w:cstheme="minorHAnsi"/>
                <w:b/>
                <w:bCs/>
                <w:sz w:val="22"/>
                <w:szCs w:val="22"/>
              </w:rPr>
            </w:pPr>
          </w:p>
        </w:tc>
        <w:tc>
          <w:tcPr>
            <w:tcW w:w="3073" w:type="dxa"/>
            <w:shd w:val="clear" w:color="auto" w:fill="auto"/>
          </w:tcPr>
          <w:p w14:paraId="6CEFB38D" w14:textId="76A311AD" w:rsidR="00120C8A" w:rsidRPr="007F1252" w:rsidRDefault="00120C8A" w:rsidP="00120C8A">
            <w:pPr>
              <w:rPr>
                <w:rFonts w:asciiTheme="minorHAnsi" w:hAnsiTheme="minorHAnsi" w:cstheme="minorHAnsi"/>
                <w:b/>
                <w:bCs/>
                <w:color w:val="000000" w:themeColor="text1"/>
                <w:sz w:val="22"/>
                <w:szCs w:val="22"/>
              </w:rPr>
            </w:pPr>
            <w:r w:rsidRPr="007F1252">
              <w:rPr>
                <w:rFonts w:asciiTheme="minorHAnsi" w:hAnsiTheme="minorHAnsi" w:cstheme="minorHAnsi"/>
                <w:b/>
                <w:bCs/>
                <w:color w:val="000000" w:themeColor="text1"/>
                <w:sz w:val="22"/>
                <w:szCs w:val="22"/>
              </w:rPr>
              <w:t>Doporučující</w:t>
            </w:r>
          </w:p>
        </w:tc>
        <w:tc>
          <w:tcPr>
            <w:tcW w:w="4748" w:type="dxa"/>
            <w:shd w:val="clear" w:color="auto" w:fill="auto"/>
          </w:tcPr>
          <w:p w14:paraId="42C82979" w14:textId="652F34D8" w:rsidR="00120C8A" w:rsidRPr="007F1252" w:rsidRDefault="00120C8A" w:rsidP="00120C8A">
            <w:pPr>
              <w:autoSpaceDE w:val="0"/>
              <w:autoSpaceDN w:val="0"/>
              <w:adjustRightInd w:val="0"/>
              <w:spacing w:after="120"/>
              <w:jc w:val="both"/>
              <w:rPr>
                <w:rFonts w:asciiTheme="minorHAnsi" w:hAnsiTheme="minorHAnsi" w:cstheme="minorHAnsi"/>
                <w:color w:val="000000" w:themeColor="text1"/>
                <w:sz w:val="22"/>
                <w:szCs w:val="22"/>
              </w:rPr>
            </w:pPr>
            <w:r w:rsidRPr="007F1252">
              <w:rPr>
                <w:rFonts w:asciiTheme="minorHAnsi" w:hAnsiTheme="minorHAnsi" w:cstheme="minorHAnsi"/>
                <w:color w:val="000000" w:themeColor="text1"/>
                <w:sz w:val="22"/>
                <w:szCs w:val="22"/>
              </w:rPr>
              <w:t>Rada upozorňuje na okolnost, že ukazatelé typu: „počet podniků pobírajících podporu“, „počet podniků pobírajících granty“ bez toho, že by byl sledován efekt podpory v těchto podnicích, jsou velmi diskutabilní.</w:t>
            </w:r>
          </w:p>
        </w:tc>
        <w:tc>
          <w:tcPr>
            <w:tcW w:w="5670" w:type="dxa"/>
            <w:shd w:val="clear" w:color="auto" w:fill="auto"/>
          </w:tcPr>
          <w:p w14:paraId="1035E2EB" w14:textId="2267538D" w:rsidR="009B5522" w:rsidRPr="007F1252" w:rsidRDefault="009B5522" w:rsidP="009B5522">
            <w:pPr>
              <w:jc w:val="both"/>
              <w:rPr>
                <w:rFonts w:asciiTheme="minorHAnsi" w:hAnsiTheme="minorHAnsi" w:cstheme="minorHAnsi"/>
                <w:b/>
                <w:bCs/>
                <w:color w:val="000000" w:themeColor="text1"/>
                <w:sz w:val="22"/>
                <w:szCs w:val="22"/>
              </w:rPr>
            </w:pPr>
            <w:r w:rsidRPr="007F1252">
              <w:rPr>
                <w:rFonts w:asciiTheme="minorHAnsi" w:hAnsiTheme="minorHAnsi" w:cstheme="minorHAnsi"/>
                <w:b/>
                <w:bCs/>
                <w:color w:val="000000" w:themeColor="text1"/>
                <w:sz w:val="22"/>
                <w:szCs w:val="22"/>
              </w:rPr>
              <w:t>Akceptováno.</w:t>
            </w:r>
          </w:p>
          <w:p w14:paraId="2E1E3083" w14:textId="6962AAAA" w:rsidR="009B5522" w:rsidRPr="007F1252" w:rsidRDefault="009B5522" w:rsidP="009B5522">
            <w:pPr>
              <w:jc w:val="both"/>
              <w:rPr>
                <w:rFonts w:asciiTheme="minorHAnsi" w:hAnsiTheme="minorHAnsi" w:cstheme="minorHAnsi"/>
                <w:bCs/>
                <w:color w:val="000000" w:themeColor="text1"/>
                <w:sz w:val="22"/>
                <w:szCs w:val="22"/>
              </w:rPr>
            </w:pPr>
            <w:r w:rsidRPr="007F1252">
              <w:rPr>
                <w:rFonts w:asciiTheme="minorHAnsi" w:hAnsiTheme="minorHAnsi" w:cstheme="minorHAnsi"/>
                <w:bCs/>
                <w:color w:val="000000" w:themeColor="text1"/>
                <w:sz w:val="22"/>
                <w:szCs w:val="22"/>
              </w:rPr>
              <w:t xml:space="preserve">V tomto ohledu odkazujeme na znění Nařízení EP a Rady (EU) o Evropském fondu pro regionální rozvoj a Fondu soudržnosti, resp. přílohu 1, která stanovuje požadavky na sledované indikátory pro účely vyhodnocení ze strany EK. Sledování těchto indikátorů výstupu tedy požaduje samotná EK. Řídicí orgán však doplnil některé z indikátorů, na </w:t>
            </w:r>
            <w:r w:rsidR="00F75133" w:rsidRPr="007F1252">
              <w:rPr>
                <w:rFonts w:asciiTheme="minorHAnsi" w:hAnsiTheme="minorHAnsi" w:cstheme="minorHAnsi"/>
                <w:bCs/>
                <w:color w:val="000000" w:themeColor="text1"/>
                <w:sz w:val="22"/>
                <w:szCs w:val="22"/>
              </w:rPr>
              <w:t xml:space="preserve">jejichž </w:t>
            </w:r>
            <w:r w:rsidRPr="007F1252">
              <w:rPr>
                <w:rFonts w:asciiTheme="minorHAnsi" w:hAnsiTheme="minorHAnsi" w:cstheme="minorHAnsi"/>
                <w:bCs/>
                <w:color w:val="000000" w:themeColor="text1"/>
                <w:sz w:val="22"/>
                <w:szCs w:val="22"/>
              </w:rPr>
              <w:t>základě bude možné sledovat efekt podpory – viz programový dokument</w:t>
            </w:r>
            <w:r w:rsidR="00F75133" w:rsidRPr="007F1252">
              <w:rPr>
                <w:rFonts w:asciiTheme="minorHAnsi" w:hAnsiTheme="minorHAnsi" w:cstheme="minorHAnsi"/>
                <w:bCs/>
                <w:color w:val="000000" w:themeColor="text1"/>
                <w:sz w:val="22"/>
                <w:szCs w:val="22"/>
              </w:rPr>
              <w:t xml:space="preserve"> OP TAK</w:t>
            </w:r>
            <w:r w:rsidRPr="007F1252">
              <w:rPr>
                <w:rFonts w:asciiTheme="minorHAnsi" w:hAnsiTheme="minorHAnsi" w:cstheme="minorHAnsi"/>
                <w:bCs/>
                <w:color w:val="000000" w:themeColor="text1"/>
                <w:sz w:val="22"/>
                <w:szCs w:val="22"/>
              </w:rPr>
              <w:t>.</w:t>
            </w:r>
          </w:p>
          <w:p w14:paraId="13EBED89" w14:textId="4E0E4F6C" w:rsidR="009B5522" w:rsidRPr="007F1252" w:rsidRDefault="009B5522" w:rsidP="00120C8A">
            <w:pPr>
              <w:jc w:val="both"/>
              <w:rPr>
                <w:rFonts w:asciiTheme="minorHAnsi" w:hAnsiTheme="minorHAnsi" w:cstheme="minorHAnsi"/>
                <w:b/>
                <w:bCs/>
                <w:color w:val="000000" w:themeColor="text1"/>
                <w:sz w:val="22"/>
                <w:szCs w:val="22"/>
              </w:rPr>
            </w:pPr>
          </w:p>
        </w:tc>
      </w:tr>
      <w:tr w:rsidR="00120C8A" w:rsidRPr="00B77102" w14:paraId="28AE4F36" w14:textId="77777777" w:rsidTr="00120C8A">
        <w:trPr>
          <w:trHeight w:val="340"/>
        </w:trPr>
        <w:tc>
          <w:tcPr>
            <w:tcW w:w="827" w:type="dxa"/>
          </w:tcPr>
          <w:p w14:paraId="51F650A7" w14:textId="77777777" w:rsidR="00120C8A" w:rsidRPr="00120C8A" w:rsidRDefault="00120C8A" w:rsidP="00120C8A">
            <w:pPr>
              <w:pStyle w:val="Odstavecseseznamem"/>
              <w:numPr>
                <w:ilvl w:val="0"/>
                <w:numId w:val="23"/>
              </w:numPr>
              <w:jc w:val="center"/>
              <w:rPr>
                <w:rFonts w:asciiTheme="minorHAnsi" w:hAnsiTheme="minorHAnsi" w:cstheme="minorHAnsi"/>
                <w:b/>
                <w:bCs/>
                <w:sz w:val="22"/>
                <w:szCs w:val="22"/>
              </w:rPr>
            </w:pPr>
          </w:p>
        </w:tc>
        <w:tc>
          <w:tcPr>
            <w:tcW w:w="3073" w:type="dxa"/>
            <w:shd w:val="clear" w:color="auto" w:fill="auto"/>
          </w:tcPr>
          <w:p w14:paraId="7180EAF6" w14:textId="68EA231D" w:rsidR="00120C8A" w:rsidRPr="007F1252" w:rsidRDefault="00120C8A" w:rsidP="00120C8A">
            <w:pPr>
              <w:rPr>
                <w:rFonts w:asciiTheme="minorHAnsi" w:hAnsiTheme="minorHAnsi" w:cstheme="minorHAnsi"/>
                <w:b/>
                <w:bCs/>
                <w:color w:val="000000" w:themeColor="text1"/>
                <w:sz w:val="22"/>
                <w:szCs w:val="22"/>
              </w:rPr>
            </w:pPr>
            <w:r w:rsidRPr="007F1252">
              <w:rPr>
                <w:rFonts w:asciiTheme="minorHAnsi" w:hAnsiTheme="minorHAnsi" w:cstheme="minorHAnsi"/>
                <w:b/>
                <w:bCs/>
                <w:color w:val="000000" w:themeColor="text1"/>
                <w:sz w:val="22"/>
                <w:szCs w:val="22"/>
              </w:rPr>
              <w:t>Doporučující</w:t>
            </w:r>
          </w:p>
        </w:tc>
        <w:tc>
          <w:tcPr>
            <w:tcW w:w="4748" w:type="dxa"/>
            <w:shd w:val="clear" w:color="auto" w:fill="auto"/>
          </w:tcPr>
          <w:p w14:paraId="79C2C677" w14:textId="0A0FA26B" w:rsidR="00120C8A" w:rsidRPr="007F1252" w:rsidRDefault="00120C8A" w:rsidP="00120C8A">
            <w:pPr>
              <w:autoSpaceDE w:val="0"/>
              <w:autoSpaceDN w:val="0"/>
              <w:adjustRightInd w:val="0"/>
              <w:spacing w:after="120"/>
              <w:jc w:val="both"/>
              <w:rPr>
                <w:rFonts w:asciiTheme="minorHAnsi" w:hAnsiTheme="minorHAnsi" w:cstheme="minorHAnsi"/>
                <w:color w:val="000000" w:themeColor="text1"/>
                <w:sz w:val="22"/>
                <w:szCs w:val="22"/>
              </w:rPr>
            </w:pPr>
            <w:r w:rsidRPr="007F1252">
              <w:rPr>
                <w:rFonts w:asciiTheme="minorHAnsi" w:hAnsiTheme="minorHAnsi" w:cstheme="minorHAnsi"/>
                <w:color w:val="000000" w:themeColor="text1"/>
                <w:sz w:val="22"/>
                <w:szCs w:val="22"/>
              </w:rPr>
              <w:t>Rada upozorňuje na následující: Podle obsahu 2.B.1 Priorita 6 je zřejmé, že administrace OP TAK a zajištění dostatečné a stabilní implementační struktury bude velmi technicky, personálně, ale i ekonomicky náročné. Z toho lze dovodit, že i pro příjemce bude administrativní zátěž značná. Nebylo by možné využít alespoň pro část těchto činností zavedené a dobře fungující kontrolní mechanismy ve firmách – viz např. management kvality?</w:t>
            </w:r>
          </w:p>
        </w:tc>
        <w:tc>
          <w:tcPr>
            <w:tcW w:w="5670" w:type="dxa"/>
            <w:shd w:val="clear" w:color="auto" w:fill="auto"/>
          </w:tcPr>
          <w:p w14:paraId="6E9645FB" w14:textId="77777777" w:rsidR="009B5522" w:rsidRPr="007F1252" w:rsidRDefault="009B5522" w:rsidP="009B5522">
            <w:pPr>
              <w:jc w:val="both"/>
              <w:rPr>
                <w:rFonts w:asciiTheme="minorHAnsi" w:hAnsiTheme="minorHAnsi" w:cstheme="minorHAnsi"/>
                <w:b/>
                <w:bCs/>
                <w:color w:val="000000" w:themeColor="text1"/>
                <w:sz w:val="22"/>
                <w:szCs w:val="22"/>
              </w:rPr>
            </w:pPr>
            <w:r w:rsidRPr="007F1252">
              <w:rPr>
                <w:rFonts w:asciiTheme="minorHAnsi" w:hAnsiTheme="minorHAnsi" w:cstheme="minorHAnsi"/>
                <w:b/>
                <w:bCs/>
                <w:color w:val="000000" w:themeColor="text1"/>
                <w:sz w:val="22"/>
                <w:szCs w:val="22"/>
              </w:rPr>
              <w:t>Vysvětleno.</w:t>
            </w:r>
          </w:p>
          <w:p w14:paraId="77598EE0" w14:textId="77777777" w:rsidR="009B5522" w:rsidRPr="007F1252" w:rsidRDefault="00A868DF" w:rsidP="00120C8A">
            <w:pPr>
              <w:jc w:val="both"/>
              <w:rPr>
                <w:rFonts w:asciiTheme="minorHAnsi" w:hAnsiTheme="minorHAnsi" w:cstheme="minorHAnsi"/>
                <w:bCs/>
                <w:color w:val="000000" w:themeColor="text1"/>
                <w:sz w:val="22"/>
                <w:szCs w:val="22"/>
              </w:rPr>
            </w:pPr>
            <w:r w:rsidRPr="007F1252">
              <w:rPr>
                <w:rFonts w:asciiTheme="minorHAnsi" w:hAnsiTheme="minorHAnsi" w:cstheme="minorHAnsi"/>
                <w:bCs/>
                <w:color w:val="000000" w:themeColor="text1"/>
                <w:sz w:val="22"/>
                <w:szCs w:val="22"/>
              </w:rPr>
              <w:t>Možnosti zjednodušení implementace, resp. administrace jsou průběžně řešeny.</w:t>
            </w:r>
          </w:p>
          <w:p w14:paraId="0F0AADC7" w14:textId="77777777" w:rsidR="00C63E5F" w:rsidRPr="007F1252" w:rsidRDefault="00C63E5F" w:rsidP="00C63E5F">
            <w:pPr>
              <w:spacing w:before="100" w:beforeAutospacing="1" w:after="100" w:afterAutospacing="1"/>
              <w:rPr>
                <w:rFonts w:asciiTheme="minorHAnsi" w:hAnsiTheme="minorHAnsi" w:cstheme="minorHAnsi"/>
                <w:color w:val="000000" w:themeColor="text1"/>
                <w:sz w:val="22"/>
                <w:szCs w:val="22"/>
              </w:rPr>
            </w:pPr>
            <w:r w:rsidRPr="007F1252">
              <w:rPr>
                <w:rFonts w:asciiTheme="minorHAnsi" w:hAnsiTheme="minorHAnsi" w:cstheme="minorHAnsi"/>
                <w:color w:val="000000" w:themeColor="text1"/>
                <w:sz w:val="22"/>
                <w:szCs w:val="22"/>
              </w:rPr>
              <w:t>Ačkoliv uznáváme, že by možnost využití kontrolních mechanismů firem mohla usnadnit některé procesy, požadavky kohezní legislativy na nastavení řídicích a kontrolních systémů na úrovni řídicích orgánů jsou velmi komplexní, což je navíc předmětem každoročních auditů.</w:t>
            </w:r>
          </w:p>
          <w:p w14:paraId="0ADD55BF" w14:textId="77777777" w:rsidR="00C63E5F" w:rsidRPr="007F1252" w:rsidRDefault="00C63E5F" w:rsidP="00C63E5F">
            <w:pPr>
              <w:rPr>
                <w:rFonts w:asciiTheme="minorHAnsi" w:hAnsiTheme="minorHAnsi" w:cstheme="minorHAnsi"/>
                <w:color w:val="000000" w:themeColor="text1"/>
                <w:sz w:val="22"/>
                <w:szCs w:val="22"/>
              </w:rPr>
            </w:pPr>
            <w:r w:rsidRPr="007F1252">
              <w:rPr>
                <w:rFonts w:asciiTheme="minorHAnsi" w:hAnsiTheme="minorHAnsi" w:cstheme="minorHAnsi"/>
                <w:color w:val="000000" w:themeColor="text1"/>
                <w:sz w:val="22"/>
                <w:szCs w:val="22"/>
              </w:rPr>
              <w:t>Z hlediska zjednodušení pro programové období 2021-2027 však můžeme uvést, že budou aplikovány tzv. zjednodušené metody vykazování:</w:t>
            </w:r>
          </w:p>
          <w:p w14:paraId="57BB42CF" w14:textId="77777777" w:rsidR="00C63E5F" w:rsidRPr="007F1252" w:rsidRDefault="00C63E5F" w:rsidP="00705F13">
            <w:pPr>
              <w:pStyle w:val="Odstavecseseznamem"/>
              <w:numPr>
                <w:ilvl w:val="0"/>
                <w:numId w:val="24"/>
              </w:numPr>
              <w:spacing w:before="100" w:beforeAutospacing="1" w:after="100" w:afterAutospacing="1"/>
              <w:rPr>
                <w:rFonts w:asciiTheme="minorHAnsi" w:hAnsiTheme="minorHAnsi" w:cstheme="minorHAnsi"/>
                <w:color w:val="000000" w:themeColor="text1"/>
                <w:sz w:val="22"/>
                <w:szCs w:val="22"/>
              </w:rPr>
            </w:pPr>
            <w:proofErr w:type="spellStart"/>
            <w:proofErr w:type="gramStart"/>
            <w:r w:rsidRPr="007F1252">
              <w:rPr>
                <w:rFonts w:asciiTheme="minorHAnsi" w:hAnsiTheme="minorHAnsi" w:cstheme="minorHAnsi"/>
                <w:color w:val="000000" w:themeColor="text1"/>
                <w:sz w:val="22"/>
                <w:szCs w:val="22"/>
              </w:rPr>
              <w:t>Fotovoltaika</w:t>
            </w:r>
            <w:proofErr w:type="spellEnd"/>
            <w:r w:rsidRPr="007F1252">
              <w:rPr>
                <w:rFonts w:asciiTheme="minorHAnsi" w:hAnsiTheme="minorHAnsi" w:cstheme="minorHAnsi"/>
                <w:color w:val="000000" w:themeColor="text1"/>
                <w:sz w:val="22"/>
                <w:szCs w:val="22"/>
              </w:rPr>
              <w:t xml:space="preserve"> - jednotková</w:t>
            </w:r>
            <w:proofErr w:type="gramEnd"/>
            <w:r w:rsidRPr="007F1252">
              <w:rPr>
                <w:rFonts w:asciiTheme="minorHAnsi" w:hAnsiTheme="minorHAnsi" w:cstheme="minorHAnsi"/>
                <w:color w:val="000000" w:themeColor="text1"/>
                <w:sz w:val="22"/>
                <w:szCs w:val="22"/>
              </w:rPr>
              <w:t xml:space="preserve"> cena </w:t>
            </w:r>
          </w:p>
          <w:p w14:paraId="2A1E9EAE" w14:textId="05458991" w:rsidR="00C63E5F" w:rsidRPr="007F1252" w:rsidRDefault="00C63E5F" w:rsidP="00705F13">
            <w:pPr>
              <w:pStyle w:val="Odstavecseseznamem"/>
              <w:numPr>
                <w:ilvl w:val="0"/>
                <w:numId w:val="24"/>
              </w:numPr>
              <w:spacing w:before="100" w:beforeAutospacing="1" w:after="100" w:afterAutospacing="1"/>
              <w:rPr>
                <w:rFonts w:asciiTheme="minorHAnsi" w:hAnsiTheme="minorHAnsi" w:cstheme="minorHAnsi"/>
                <w:color w:val="000000" w:themeColor="text1"/>
                <w:sz w:val="22"/>
                <w:szCs w:val="22"/>
              </w:rPr>
            </w:pPr>
            <w:proofErr w:type="gramStart"/>
            <w:r w:rsidRPr="007F1252">
              <w:rPr>
                <w:rFonts w:asciiTheme="minorHAnsi" w:hAnsiTheme="minorHAnsi" w:cstheme="minorHAnsi"/>
                <w:color w:val="000000" w:themeColor="text1"/>
                <w:sz w:val="22"/>
                <w:szCs w:val="22"/>
              </w:rPr>
              <w:t>Marketing - standardní</w:t>
            </w:r>
            <w:proofErr w:type="gramEnd"/>
            <w:r w:rsidRPr="007F1252">
              <w:rPr>
                <w:rFonts w:asciiTheme="minorHAnsi" w:hAnsiTheme="minorHAnsi" w:cstheme="minorHAnsi"/>
                <w:color w:val="000000" w:themeColor="text1"/>
                <w:sz w:val="22"/>
                <w:szCs w:val="22"/>
              </w:rPr>
              <w:t xml:space="preserve"> stupnice jednotkových nákladů či paušální sazba - % z přímých nákladů</w:t>
            </w:r>
          </w:p>
          <w:p w14:paraId="3F8026DA" w14:textId="040C28C1" w:rsidR="00C63E5F" w:rsidRPr="007F1252" w:rsidRDefault="00C63E5F" w:rsidP="00C63E5F">
            <w:pPr>
              <w:spacing w:before="100" w:beforeAutospacing="1" w:after="100" w:afterAutospacing="1"/>
              <w:rPr>
                <w:rFonts w:asciiTheme="minorHAnsi" w:hAnsiTheme="minorHAnsi" w:cstheme="minorHAnsi"/>
                <w:color w:val="000000" w:themeColor="text1"/>
                <w:sz w:val="22"/>
                <w:szCs w:val="22"/>
              </w:rPr>
            </w:pPr>
            <w:r w:rsidRPr="007F1252">
              <w:rPr>
                <w:rFonts w:asciiTheme="minorHAnsi" w:hAnsiTheme="minorHAnsi" w:cstheme="minorHAnsi"/>
                <w:color w:val="000000" w:themeColor="text1"/>
                <w:sz w:val="22"/>
                <w:szCs w:val="22"/>
              </w:rPr>
              <w:t>Dále bude ve větší míře využívány kombinace FN a dotace.</w:t>
            </w:r>
            <w:r w:rsidR="00FE544E">
              <w:rPr>
                <w:rFonts w:asciiTheme="minorHAnsi" w:hAnsiTheme="minorHAnsi" w:cstheme="minorHAnsi"/>
                <w:color w:val="000000" w:themeColor="text1"/>
                <w:sz w:val="22"/>
                <w:szCs w:val="22"/>
              </w:rPr>
              <w:t xml:space="preserve"> </w:t>
            </w:r>
            <w:r w:rsidRPr="007F1252">
              <w:rPr>
                <w:rFonts w:asciiTheme="minorHAnsi" w:hAnsiTheme="minorHAnsi" w:cstheme="minorHAnsi"/>
                <w:color w:val="000000" w:themeColor="text1"/>
                <w:sz w:val="22"/>
                <w:szCs w:val="22"/>
              </w:rPr>
              <w:t>Novinkou je možnost kombinace finančního nástroje s dotací v rámci jedné operace, což umožní realizovat určité projekty např. prostřednictvím zvýhodněných úvěrů či záruk s možností odpuštění části splátek jistiny, a to za předpokladu splnění předem definovaných podmínek. Součástí bude zjednodušené hodnocení. Podpora navíc může být realizována dle pravidel pro finanční nástroje, což představuje významné administrativní zjednodušení a může napomoci zefektivnění řady podnikatelských projektů. Např. v oblasti digitalizace či úspor energie</w:t>
            </w:r>
          </w:p>
          <w:p w14:paraId="4044C109" w14:textId="0B9D0D7E" w:rsidR="00C63E5F" w:rsidRPr="007F1252" w:rsidRDefault="00C63E5F" w:rsidP="00C63E5F">
            <w:pPr>
              <w:spacing w:before="100" w:beforeAutospacing="1" w:after="100" w:afterAutospacing="1"/>
              <w:rPr>
                <w:rFonts w:asciiTheme="minorHAnsi" w:hAnsiTheme="minorHAnsi" w:cstheme="minorHAnsi"/>
                <w:color w:val="000000" w:themeColor="text1"/>
                <w:sz w:val="22"/>
                <w:szCs w:val="22"/>
              </w:rPr>
            </w:pPr>
            <w:r w:rsidRPr="007F1252">
              <w:rPr>
                <w:rFonts w:asciiTheme="minorHAnsi" w:hAnsiTheme="minorHAnsi" w:cstheme="minorHAnsi"/>
                <w:color w:val="000000" w:themeColor="text1"/>
                <w:sz w:val="22"/>
                <w:szCs w:val="22"/>
              </w:rPr>
              <w:t>Obecně pak snaha o omezení podmínek nad rámec legislativy EU a zjednodušení textů materiálů. I MMR tomu jde naproti metodikou.</w:t>
            </w:r>
          </w:p>
        </w:tc>
      </w:tr>
    </w:tbl>
    <w:p w14:paraId="497C44FE" w14:textId="2C18A219" w:rsidR="001064B0" w:rsidRPr="00C97DC8" w:rsidRDefault="001064B0" w:rsidP="00DB224D">
      <w:pPr>
        <w:tabs>
          <w:tab w:val="left" w:pos="9498"/>
        </w:tabs>
        <w:autoSpaceDE w:val="0"/>
        <w:autoSpaceDN w:val="0"/>
        <w:adjustRightInd w:val="0"/>
        <w:spacing w:before="240" w:after="240" w:line="240" w:lineRule="atLeast"/>
        <w:rPr>
          <w:rFonts w:asciiTheme="minorHAnsi" w:hAnsiTheme="minorHAnsi"/>
          <w:sz w:val="22"/>
          <w:szCs w:val="22"/>
        </w:rPr>
      </w:pPr>
    </w:p>
    <w:sectPr w:rsidR="001064B0" w:rsidRPr="00C97DC8" w:rsidSect="00DF31E1">
      <w:footerReference w:type="default" r:id="rId8"/>
      <w:pgSz w:w="16838" w:h="11906" w:orient="landscape"/>
      <w:pgMar w:top="1258" w:right="1418" w:bottom="1135" w:left="1418" w:header="709" w:footer="709"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63363C" w14:textId="77777777" w:rsidR="003D60C6" w:rsidRDefault="003D60C6">
      <w:r>
        <w:separator/>
      </w:r>
    </w:p>
  </w:endnote>
  <w:endnote w:type="continuationSeparator" w:id="0">
    <w:p w14:paraId="43DE5315" w14:textId="77777777" w:rsidR="003D60C6" w:rsidRDefault="003D6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4F0222" w14:textId="21D8CBBF" w:rsidR="00E92E6A" w:rsidRPr="00CA4A8C" w:rsidRDefault="00E92E6A" w:rsidP="00E92E6A">
    <w:pPr>
      <w:pStyle w:val="Podnadpis"/>
      <w:rPr>
        <w:rFonts w:ascii="Arial" w:hAnsi="Arial" w:cs="Arial"/>
        <w:sz w:val="22"/>
        <w:szCs w:val="22"/>
      </w:rPr>
    </w:pPr>
    <w:r w:rsidRPr="00CA4A8C">
      <w:rPr>
        <w:rFonts w:ascii="Arial" w:hAnsi="Arial" w:cs="Arial"/>
        <w:sz w:val="22"/>
        <w:szCs w:val="22"/>
      </w:rPr>
      <w:t xml:space="preserve">Stránka </w:t>
    </w:r>
    <w:r w:rsidRPr="00CA4A8C">
      <w:rPr>
        <w:rFonts w:ascii="Arial" w:hAnsi="Arial" w:cs="Arial"/>
        <w:sz w:val="22"/>
        <w:szCs w:val="22"/>
      </w:rPr>
      <w:fldChar w:fldCharType="begin"/>
    </w:r>
    <w:r w:rsidRPr="00CA4A8C">
      <w:rPr>
        <w:rFonts w:ascii="Arial" w:hAnsi="Arial" w:cs="Arial"/>
        <w:sz w:val="22"/>
        <w:szCs w:val="22"/>
      </w:rPr>
      <w:instrText>PAGE</w:instrText>
    </w:r>
    <w:r w:rsidRPr="00CA4A8C">
      <w:rPr>
        <w:rFonts w:ascii="Arial" w:hAnsi="Arial" w:cs="Arial"/>
        <w:sz w:val="22"/>
        <w:szCs w:val="22"/>
      </w:rPr>
      <w:fldChar w:fldCharType="separate"/>
    </w:r>
    <w:r w:rsidR="00111414">
      <w:rPr>
        <w:rFonts w:ascii="Arial" w:hAnsi="Arial" w:cs="Arial"/>
        <w:noProof/>
        <w:sz w:val="22"/>
        <w:szCs w:val="22"/>
      </w:rPr>
      <w:t>16</w:t>
    </w:r>
    <w:r w:rsidRPr="00CA4A8C">
      <w:rPr>
        <w:rFonts w:ascii="Arial" w:hAnsi="Arial" w:cs="Arial"/>
        <w:sz w:val="22"/>
        <w:szCs w:val="22"/>
      </w:rPr>
      <w:fldChar w:fldCharType="end"/>
    </w:r>
    <w:r w:rsidRPr="00CA4A8C">
      <w:rPr>
        <w:rFonts w:ascii="Arial" w:hAnsi="Arial" w:cs="Arial"/>
        <w:sz w:val="22"/>
        <w:szCs w:val="22"/>
      </w:rPr>
      <w:t xml:space="preserve"> (celkem </w:t>
    </w:r>
    <w:r w:rsidRPr="00CA4A8C">
      <w:rPr>
        <w:rFonts w:ascii="Arial" w:hAnsi="Arial" w:cs="Arial"/>
        <w:sz w:val="22"/>
        <w:szCs w:val="22"/>
      </w:rPr>
      <w:fldChar w:fldCharType="begin"/>
    </w:r>
    <w:r w:rsidRPr="00CA4A8C">
      <w:rPr>
        <w:rFonts w:ascii="Arial" w:hAnsi="Arial" w:cs="Arial"/>
        <w:sz w:val="22"/>
        <w:szCs w:val="22"/>
      </w:rPr>
      <w:instrText>NUMPAGES</w:instrText>
    </w:r>
    <w:r w:rsidRPr="00CA4A8C">
      <w:rPr>
        <w:rFonts w:ascii="Arial" w:hAnsi="Arial" w:cs="Arial"/>
        <w:sz w:val="22"/>
        <w:szCs w:val="22"/>
      </w:rPr>
      <w:fldChar w:fldCharType="separate"/>
    </w:r>
    <w:r w:rsidR="00111414">
      <w:rPr>
        <w:rFonts w:ascii="Arial" w:hAnsi="Arial" w:cs="Arial"/>
        <w:noProof/>
        <w:sz w:val="22"/>
        <w:szCs w:val="22"/>
      </w:rPr>
      <w:t>16</w:t>
    </w:r>
    <w:r w:rsidRPr="00CA4A8C">
      <w:rPr>
        <w:rFonts w:ascii="Arial" w:hAnsi="Arial" w:cs="Arial"/>
        <w:sz w:val="22"/>
        <w:szCs w:val="22"/>
      </w:rPr>
      <w:fldChar w:fldCharType="end"/>
    </w:r>
    <w:r w:rsidRPr="00CA4A8C">
      <w:rPr>
        <w:rFonts w:ascii="Arial" w:hAnsi="Arial" w:cs="Arial"/>
        <w:sz w:val="22"/>
        <w:szCs w:val="22"/>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478142" w14:textId="77777777" w:rsidR="003D60C6" w:rsidRDefault="003D60C6">
      <w:r>
        <w:separator/>
      </w:r>
    </w:p>
  </w:footnote>
  <w:footnote w:type="continuationSeparator" w:id="0">
    <w:p w14:paraId="07AD37CD" w14:textId="77777777" w:rsidR="003D60C6" w:rsidRDefault="003D60C6">
      <w:r>
        <w:continuationSeparator/>
      </w:r>
    </w:p>
  </w:footnote>
  <w:footnote w:id="1">
    <w:p w14:paraId="4639B021" w14:textId="77777777" w:rsidR="00733D12" w:rsidRPr="00EF51FF" w:rsidRDefault="00733D12" w:rsidP="00733D12">
      <w:pPr>
        <w:pStyle w:val="Textpoznpodarou"/>
      </w:pPr>
      <w:r w:rsidRPr="00EF51FF">
        <w:rPr>
          <w:rStyle w:val="Znakapoznpodarou"/>
          <w:szCs w:val="24"/>
        </w:rPr>
        <w:footnoteRef/>
      </w:r>
      <w:r w:rsidRPr="00EF51FF">
        <w:tab/>
        <w:t>Směrnice Evropského parlamentu a Rady 2009/33/ES ze dne 23. dubna 2009 o podpoře čistých a energeticky účinných silničních vozidel (Úř. věst. L 120, 15.5.2009, s. 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F6872"/>
    <w:multiLevelType w:val="hybridMultilevel"/>
    <w:tmpl w:val="C6B80AA0"/>
    <w:lvl w:ilvl="0" w:tplc="DD06E0B8">
      <w:start w:val="1"/>
      <w:numFmt w:val="decimal"/>
      <w:lvlText w:val="%1."/>
      <w:lvlJc w:val="left"/>
      <w:pPr>
        <w:tabs>
          <w:tab w:val="num" w:pos="360"/>
        </w:tabs>
        <w:ind w:left="360" w:hanging="360"/>
      </w:pPr>
      <w:rPr>
        <w:b w:val="0"/>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 w15:restartNumberingAfterBreak="0">
    <w:nsid w:val="0684282A"/>
    <w:multiLevelType w:val="hybridMultilevel"/>
    <w:tmpl w:val="F9D2771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15:restartNumberingAfterBreak="0">
    <w:nsid w:val="073D61BD"/>
    <w:multiLevelType w:val="hybridMultilevel"/>
    <w:tmpl w:val="F162D3BC"/>
    <w:lvl w:ilvl="0" w:tplc="703AFBE0">
      <w:start w:val="1"/>
      <w:numFmt w:val="decimal"/>
      <w:lvlText w:val="%1."/>
      <w:lvlJc w:val="left"/>
      <w:pPr>
        <w:tabs>
          <w:tab w:val="num" w:pos="720"/>
        </w:tabs>
        <w:ind w:left="720" w:hanging="360"/>
      </w:pPr>
      <w:rPr>
        <w:b w:val="0"/>
        <w:bCs w:val="0"/>
        <w:sz w:val="24"/>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 w15:restartNumberingAfterBreak="0">
    <w:nsid w:val="0CCD33DA"/>
    <w:multiLevelType w:val="hybridMultilevel"/>
    <w:tmpl w:val="ECDE82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735586"/>
    <w:multiLevelType w:val="hybridMultilevel"/>
    <w:tmpl w:val="6C88239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492DDA"/>
    <w:multiLevelType w:val="hybridMultilevel"/>
    <w:tmpl w:val="8B1C517E"/>
    <w:lvl w:ilvl="0" w:tplc="8CC6231E">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EA30EA4"/>
    <w:multiLevelType w:val="hybridMultilevel"/>
    <w:tmpl w:val="73F4E9F0"/>
    <w:lvl w:ilvl="0" w:tplc="61509DC4">
      <w:start w:val="1"/>
      <w:numFmt w:val="decimal"/>
      <w:lvlText w:val="%1)"/>
      <w:lvlJc w:val="left"/>
      <w:pPr>
        <w:ind w:left="360" w:hanging="360"/>
      </w:pPr>
      <w:rPr>
        <w:rFonts w:ascii="Arial" w:hAnsi="Arial" w:cs="Arial" w:hint="default"/>
        <w:sz w:val="22"/>
        <w:szCs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FFD6802"/>
    <w:multiLevelType w:val="hybridMultilevel"/>
    <w:tmpl w:val="907414BA"/>
    <w:lvl w:ilvl="0" w:tplc="B48498E0">
      <w:start w:val="8"/>
      <w:numFmt w:val="bullet"/>
      <w:lvlText w:val="-"/>
      <w:lvlJc w:val="left"/>
      <w:pPr>
        <w:tabs>
          <w:tab w:val="num" w:pos="1380"/>
        </w:tabs>
        <w:ind w:left="1380" w:hanging="360"/>
      </w:pPr>
      <w:rPr>
        <w:rFonts w:ascii="Times New Roman" w:eastAsia="Times New Roman" w:hAnsi="Times New Roman" w:hint="default"/>
      </w:rPr>
    </w:lvl>
    <w:lvl w:ilvl="1" w:tplc="0405000F">
      <w:start w:val="1"/>
      <w:numFmt w:val="decimal"/>
      <w:lvlText w:val="%2."/>
      <w:lvlJc w:val="left"/>
      <w:pPr>
        <w:tabs>
          <w:tab w:val="num" w:pos="1440"/>
        </w:tabs>
        <w:ind w:left="1440" w:hanging="360"/>
      </w:pPr>
      <w:rPr>
        <w:rFonts w:hint="default"/>
      </w:rPr>
    </w:lvl>
    <w:lvl w:ilvl="2" w:tplc="8A567AB0">
      <w:start w:val="1"/>
      <w:numFmt w:val="upperRoman"/>
      <w:lvlText w:val="%3."/>
      <w:lvlJc w:val="left"/>
      <w:pPr>
        <w:tabs>
          <w:tab w:val="num" w:pos="2520"/>
        </w:tabs>
        <w:ind w:left="2520" w:hanging="720"/>
      </w:pPr>
      <w:rPr>
        <w:rFont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21016732"/>
    <w:multiLevelType w:val="hybridMultilevel"/>
    <w:tmpl w:val="7D00CD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28C1735"/>
    <w:multiLevelType w:val="hybridMultilevel"/>
    <w:tmpl w:val="FF3E70B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0" w15:restartNumberingAfterBreak="0">
    <w:nsid w:val="2E0D775F"/>
    <w:multiLevelType w:val="hybridMultilevel"/>
    <w:tmpl w:val="78EC746E"/>
    <w:lvl w:ilvl="0" w:tplc="B9A2F35A">
      <w:start w:val="16"/>
      <w:numFmt w:val="bullet"/>
      <w:lvlText w:val="-"/>
      <w:lvlJc w:val="left"/>
      <w:pPr>
        <w:ind w:left="720" w:hanging="360"/>
      </w:pPr>
      <w:rPr>
        <w:rFonts w:ascii="Arial" w:eastAsia="Calibri" w:hAnsi="Arial" w:cs="Arial" w:hint="default"/>
        <w:color w:val="000000"/>
        <w:sz w:val="2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2E814B08"/>
    <w:multiLevelType w:val="hybridMultilevel"/>
    <w:tmpl w:val="70F4C34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F4A5D1E"/>
    <w:multiLevelType w:val="hybridMultilevel"/>
    <w:tmpl w:val="0414B8D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00A2C09"/>
    <w:multiLevelType w:val="hybridMultilevel"/>
    <w:tmpl w:val="1DBE46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2BC25A0"/>
    <w:multiLevelType w:val="hybridMultilevel"/>
    <w:tmpl w:val="E9FAB776"/>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15:restartNumberingAfterBreak="0">
    <w:nsid w:val="3A7C5C05"/>
    <w:multiLevelType w:val="hybridMultilevel"/>
    <w:tmpl w:val="C6CE62C2"/>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C6C34A3"/>
    <w:multiLevelType w:val="hybridMultilevel"/>
    <w:tmpl w:val="2D50B66E"/>
    <w:lvl w:ilvl="0" w:tplc="B48498E0">
      <w:start w:val="8"/>
      <w:numFmt w:val="bullet"/>
      <w:lvlText w:val="-"/>
      <w:lvlJc w:val="left"/>
      <w:pPr>
        <w:tabs>
          <w:tab w:val="num" w:pos="1380"/>
        </w:tabs>
        <w:ind w:left="138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3D871602"/>
    <w:multiLevelType w:val="hybridMultilevel"/>
    <w:tmpl w:val="83DC15DC"/>
    <w:lvl w:ilvl="0" w:tplc="0B3ECD12">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BD85044"/>
    <w:multiLevelType w:val="hybridMultilevel"/>
    <w:tmpl w:val="286050C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23628EF"/>
    <w:multiLevelType w:val="singleLevel"/>
    <w:tmpl w:val="34FC1884"/>
    <w:name w:val="Tiret 3"/>
    <w:lvl w:ilvl="0">
      <w:start w:val="1"/>
      <w:numFmt w:val="bullet"/>
      <w:lvlRestart w:val="0"/>
      <w:pStyle w:val="Tiret3"/>
      <w:lvlText w:val="–"/>
      <w:lvlJc w:val="left"/>
      <w:pPr>
        <w:tabs>
          <w:tab w:val="num" w:pos="2551"/>
        </w:tabs>
        <w:ind w:left="2551" w:hanging="567"/>
      </w:pPr>
    </w:lvl>
  </w:abstractNum>
  <w:abstractNum w:abstractNumId="20" w15:restartNumberingAfterBreak="0">
    <w:nsid w:val="567812CE"/>
    <w:multiLevelType w:val="hybridMultilevel"/>
    <w:tmpl w:val="17927F30"/>
    <w:lvl w:ilvl="0" w:tplc="0405000F">
      <w:start w:val="1"/>
      <w:numFmt w:val="decimal"/>
      <w:lvlText w:val="%1."/>
      <w:lvlJc w:val="left"/>
      <w:pPr>
        <w:tabs>
          <w:tab w:val="num" w:pos="720"/>
        </w:tabs>
        <w:ind w:left="720" w:hanging="360"/>
      </w:pPr>
    </w:lvl>
    <w:lvl w:ilvl="1" w:tplc="B48498E0">
      <w:start w:val="8"/>
      <w:numFmt w:val="bullet"/>
      <w:lvlText w:val="-"/>
      <w:lvlJc w:val="left"/>
      <w:pPr>
        <w:tabs>
          <w:tab w:val="num" w:pos="1440"/>
        </w:tabs>
        <w:ind w:left="1440" w:hanging="360"/>
      </w:pPr>
      <w:rPr>
        <w:rFonts w:ascii="Times New Roman" w:eastAsia="Times New Roman" w:hAnsi="Times New Roman" w:hint="default"/>
      </w:rPr>
    </w:lvl>
    <w:lvl w:ilvl="2" w:tplc="0405000F">
      <w:start w:val="1"/>
      <w:numFmt w:val="decimal"/>
      <w:lvlText w:val="%3."/>
      <w:lvlJc w:val="left"/>
      <w:pPr>
        <w:tabs>
          <w:tab w:val="num" w:pos="2340"/>
        </w:tabs>
        <w:ind w:left="2340" w:hanging="36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15:restartNumberingAfterBreak="0">
    <w:nsid w:val="5EA7688C"/>
    <w:multiLevelType w:val="hybridMultilevel"/>
    <w:tmpl w:val="EA3200E2"/>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2" w15:restartNumberingAfterBreak="0">
    <w:nsid w:val="63964F75"/>
    <w:multiLevelType w:val="hybridMultilevel"/>
    <w:tmpl w:val="A7DE8D28"/>
    <w:lvl w:ilvl="0" w:tplc="CD0E20F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5D73F64"/>
    <w:multiLevelType w:val="hybridMultilevel"/>
    <w:tmpl w:val="49E2F5A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8AB3370"/>
    <w:multiLevelType w:val="hybridMultilevel"/>
    <w:tmpl w:val="230E3D62"/>
    <w:lvl w:ilvl="0" w:tplc="0405000F">
      <w:start w:val="1"/>
      <w:numFmt w:val="decimal"/>
      <w:lvlText w:val="%1."/>
      <w:lvlJc w:val="left"/>
      <w:pPr>
        <w:tabs>
          <w:tab w:val="num" w:pos="780"/>
        </w:tabs>
        <w:ind w:left="780" w:hanging="360"/>
      </w:pPr>
    </w:lvl>
    <w:lvl w:ilvl="1" w:tplc="04050019" w:tentative="1">
      <w:start w:val="1"/>
      <w:numFmt w:val="lowerLetter"/>
      <w:lvlText w:val="%2."/>
      <w:lvlJc w:val="left"/>
      <w:pPr>
        <w:tabs>
          <w:tab w:val="num" w:pos="1500"/>
        </w:tabs>
        <w:ind w:left="1500" w:hanging="360"/>
      </w:pPr>
    </w:lvl>
    <w:lvl w:ilvl="2" w:tplc="0405001B" w:tentative="1">
      <w:start w:val="1"/>
      <w:numFmt w:val="lowerRoman"/>
      <w:lvlText w:val="%3."/>
      <w:lvlJc w:val="right"/>
      <w:pPr>
        <w:tabs>
          <w:tab w:val="num" w:pos="2220"/>
        </w:tabs>
        <w:ind w:left="2220" w:hanging="180"/>
      </w:pPr>
    </w:lvl>
    <w:lvl w:ilvl="3" w:tplc="0405000F" w:tentative="1">
      <w:start w:val="1"/>
      <w:numFmt w:val="decimal"/>
      <w:lvlText w:val="%4."/>
      <w:lvlJc w:val="left"/>
      <w:pPr>
        <w:tabs>
          <w:tab w:val="num" w:pos="2940"/>
        </w:tabs>
        <w:ind w:left="2940" w:hanging="360"/>
      </w:pPr>
    </w:lvl>
    <w:lvl w:ilvl="4" w:tplc="04050019" w:tentative="1">
      <w:start w:val="1"/>
      <w:numFmt w:val="lowerLetter"/>
      <w:lvlText w:val="%5."/>
      <w:lvlJc w:val="left"/>
      <w:pPr>
        <w:tabs>
          <w:tab w:val="num" w:pos="3660"/>
        </w:tabs>
        <w:ind w:left="3660" w:hanging="360"/>
      </w:pPr>
    </w:lvl>
    <w:lvl w:ilvl="5" w:tplc="0405001B" w:tentative="1">
      <w:start w:val="1"/>
      <w:numFmt w:val="lowerRoman"/>
      <w:lvlText w:val="%6."/>
      <w:lvlJc w:val="right"/>
      <w:pPr>
        <w:tabs>
          <w:tab w:val="num" w:pos="4380"/>
        </w:tabs>
        <w:ind w:left="4380" w:hanging="180"/>
      </w:pPr>
    </w:lvl>
    <w:lvl w:ilvl="6" w:tplc="0405000F" w:tentative="1">
      <w:start w:val="1"/>
      <w:numFmt w:val="decimal"/>
      <w:lvlText w:val="%7."/>
      <w:lvlJc w:val="left"/>
      <w:pPr>
        <w:tabs>
          <w:tab w:val="num" w:pos="5100"/>
        </w:tabs>
        <w:ind w:left="5100" w:hanging="360"/>
      </w:pPr>
    </w:lvl>
    <w:lvl w:ilvl="7" w:tplc="04050019" w:tentative="1">
      <w:start w:val="1"/>
      <w:numFmt w:val="lowerLetter"/>
      <w:lvlText w:val="%8."/>
      <w:lvlJc w:val="left"/>
      <w:pPr>
        <w:tabs>
          <w:tab w:val="num" w:pos="5820"/>
        </w:tabs>
        <w:ind w:left="5820" w:hanging="360"/>
      </w:pPr>
    </w:lvl>
    <w:lvl w:ilvl="8" w:tplc="0405001B" w:tentative="1">
      <w:start w:val="1"/>
      <w:numFmt w:val="lowerRoman"/>
      <w:lvlText w:val="%9."/>
      <w:lvlJc w:val="right"/>
      <w:pPr>
        <w:tabs>
          <w:tab w:val="num" w:pos="6540"/>
        </w:tabs>
        <w:ind w:left="6540" w:hanging="180"/>
      </w:pPr>
    </w:lvl>
  </w:abstractNum>
  <w:abstractNum w:abstractNumId="25" w15:restartNumberingAfterBreak="0">
    <w:nsid w:val="74E011B5"/>
    <w:multiLevelType w:val="hybridMultilevel"/>
    <w:tmpl w:val="EE4A139A"/>
    <w:lvl w:ilvl="0" w:tplc="4B267BAC">
      <w:start w:val="1"/>
      <w:numFmt w:val="decimal"/>
      <w:lvlText w:val="%1)"/>
      <w:lvlJc w:val="left"/>
      <w:pPr>
        <w:ind w:left="360" w:hanging="360"/>
      </w:pPr>
      <w:rPr>
        <w:rFonts w:hint="default"/>
        <w:sz w:val="22"/>
        <w:szCs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5"/>
  </w:num>
  <w:num w:numId="3">
    <w:abstractNumId w:val="21"/>
  </w:num>
  <w:num w:numId="4">
    <w:abstractNumId w:val="1"/>
  </w:num>
  <w:num w:numId="5">
    <w:abstractNumId w:val="14"/>
  </w:num>
  <w:num w:numId="6">
    <w:abstractNumId w:val="20"/>
  </w:num>
  <w:num w:numId="7">
    <w:abstractNumId w:val="16"/>
  </w:num>
  <w:num w:numId="8">
    <w:abstractNumId w:val="7"/>
  </w:num>
  <w:num w:numId="9">
    <w:abstractNumId w:val="2"/>
  </w:num>
  <w:num w:numId="10">
    <w:abstractNumId w:val="9"/>
  </w:num>
  <w:num w:numId="11">
    <w:abstractNumId w:val="18"/>
  </w:num>
  <w:num w:numId="12">
    <w:abstractNumId w:val="4"/>
  </w:num>
  <w:num w:numId="13">
    <w:abstractNumId w:val="12"/>
  </w:num>
  <w:num w:numId="14">
    <w:abstractNumId w:val="23"/>
  </w:num>
  <w:num w:numId="15">
    <w:abstractNumId w:val="24"/>
  </w:num>
  <w:num w:numId="16">
    <w:abstractNumId w:val="25"/>
  </w:num>
  <w:num w:numId="17">
    <w:abstractNumId w:val="6"/>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0"/>
  </w:num>
  <w:num w:numId="22">
    <w:abstractNumId w:val="17"/>
  </w:num>
  <w:num w:numId="23">
    <w:abstractNumId w:val="8"/>
  </w:num>
  <w:num w:numId="24">
    <w:abstractNumId w:val="13"/>
  </w:num>
  <w:num w:numId="25">
    <w:abstractNumId w:val="15"/>
  </w:num>
  <w:num w:numId="26">
    <w:abstractNumId w:val="19"/>
    <w:lvlOverride w:ilvl="0">
      <w:startOverride w:val="1"/>
    </w:lvlOverride>
  </w:num>
  <w:num w:numId="27">
    <w:abstractNumId w:val="19"/>
  </w:num>
  <w:num w:numId="28">
    <w:abstractNumId w:val="10"/>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0397"/>
    <w:rsid w:val="000134BD"/>
    <w:rsid w:val="0001676C"/>
    <w:rsid w:val="000335F7"/>
    <w:rsid w:val="000428EB"/>
    <w:rsid w:val="00043EB6"/>
    <w:rsid w:val="00043F8F"/>
    <w:rsid w:val="00062C44"/>
    <w:rsid w:val="000637AA"/>
    <w:rsid w:val="00070DEA"/>
    <w:rsid w:val="00075305"/>
    <w:rsid w:val="00080AC8"/>
    <w:rsid w:val="00081820"/>
    <w:rsid w:val="00093098"/>
    <w:rsid w:val="000947C3"/>
    <w:rsid w:val="00095FA8"/>
    <w:rsid w:val="000970C1"/>
    <w:rsid w:val="000A5592"/>
    <w:rsid w:val="000A7AA9"/>
    <w:rsid w:val="000A7FF0"/>
    <w:rsid w:val="000B085C"/>
    <w:rsid w:val="000C7F33"/>
    <w:rsid w:val="000E3BE9"/>
    <w:rsid w:val="000F3754"/>
    <w:rsid w:val="000F7617"/>
    <w:rsid w:val="001064B0"/>
    <w:rsid w:val="00110AAF"/>
    <w:rsid w:val="00111414"/>
    <w:rsid w:val="00120C8A"/>
    <w:rsid w:val="00125721"/>
    <w:rsid w:val="0012692B"/>
    <w:rsid w:val="001276F0"/>
    <w:rsid w:val="00127CA6"/>
    <w:rsid w:val="00140086"/>
    <w:rsid w:val="00141A7C"/>
    <w:rsid w:val="00145705"/>
    <w:rsid w:val="0014667B"/>
    <w:rsid w:val="00146ACD"/>
    <w:rsid w:val="00155760"/>
    <w:rsid w:val="00183156"/>
    <w:rsid w:val="001848D8"/>
    <w:rsid w:val="00195697"/>
    <w:rsid w:val="00196EEA"/>
    <w:rsid w:val="001A179E"/>
    <w:rsid w:val="001B2EDE"/>
    <w:rsid w:val="001B60AE"/>
    <w:rsid w:val="001B68A8"/>
    <w:rsid w:val="001C1BAD"/>
    <w:rsid w:val="001C77AD"/>
    <w:rsid w:val="001D4032"/>
    <w:rsid w:val="001D55D4"/>
    <w:rsid w:val="001E1E8C"/>
    <w:rsid w:val="001E5177"/>
    <w:rsid w:val="001F33A5"/>
    <w:rsid w:val="00205563"/>
    <w:rsid w:val="00212ADB"/>
    <w:rsid w:val="002132CD"/>
    <w:rsid w:val="00214A94"/>
    <w:rsid w:val="00217309"/>
    <w:rsid w:val="00217927"/>
    <w:rsid w:val="00240794"/>
    <w:rsid w:val="00241C0B"/>
    <w:rsid w:val="00253173"/>
    <w:rsid w:val="00254415"/>
    <w:rsid w:val="00254AB0"/>
    <w:rsid w:val="002553BD"/>
    <w:rsid w:val="00257ECF"/>
    <w:rsid w:val="00264AFC"/>
    <w:rsid w:val="0027082B"/>
    <w:rsid w:val="00281BB5"/>
    <w:rsid w:val="00281C76"/>
    <w:rsid w:val="00287369"/>
    <w:rsid w:val="00291F07"/>
    <w:rsid w:val="002A26E9"/>
    <w:rsid w:val="002A29FE"/>
    <w:rsid w:val="002A6986"/>
    <w:rsid w:val="002B48CA"/>
    <w:rsid w:val="002C6EC1"/>
    <w:rsid w:val="002D28EE"/>
    <w:rsid w:val="002D7FCB"/>
    <w:rsid w:val="002E4804"/>
    <w:rsid w:val="002F055A"/>
    <w:rsid w:val="002F612B"/>
    <w:rsid w:val="00314266"/>
    <w:rsid w:val="00333F79"/>
    <w:rsid w:val="0034101D"/>
    <w:rsid w:val="003563A9"/>
    <w:rsid w:val="0036554C"/>
    <w:rsid w:val="00366E93"/>
    <w:rsid w:val="00372394"/>
    <w:rsid w:val="00374D92"/>
    <w:rsid w:val="003759AB"/>
    <w:rsid w:val="003A1385"/>
    <w:rsid w:val="003A50A9"/>
    <w:rsid w:val="003B0095"/>
    <w:rsid w:val="003C3A84"/>
    <w:rsid w:val="003C6C78"/>
    <w:rsid w:val="003C7190"/>
    <w:rsid w:val="003D276A"/>
    <w:rsid w:val="003D46EC"/>
    <w:rsid w:val="003D60C6"/>
    <w:rsid w:val="003E2350"/>
    <w:rsid w:val="003F13F4"/>
    <w:rsid w:val="0040041F"/>
    <w:rsid w:val="00401C78"/>
    <w:rsid w:val="00406325"/>
    <w:rsid w:val="004111C8"/>
    <w:rsid w:val="00416C6E"/>
    <w:rsid w:val="00416DB5"/>
    <w:rsid w:val="00417825"/>
    <w:rsid w:val="00420190"/>
    <w:rsid w:val="00433C83"/>
    <w:rsid w:val="0043455C"/>
    <w:rsid w:val="00437A34"/>
    <w:rsid w:val="004468A2"/>
    <w:rsid w:val="004505B8"/>
    <w:rsid w:val="0049029E"/>
    <w:rsid w:val="004905B4"/>
    <w:rsid w:val="004A3B5C"/>
    <w:rsid w:val="004B43CE"/>
    <w:rsid w:val="004D44C8"/>
    <w:rsid w:val="004E7541"/>
    <w:rsid w:val="004F00D3"/>
    <w:rsid w:val="00500EC3"/>
    <w:rsid w:val="0050118B"/>
    <w:rsid w:val="00506235"/>
    <w:rsid w:val="005106F2"/>
    <w:rsid w:val="00512044"/>
    <w:rsid w:val="005213A9"/>
    <w:rsid w:val="00522DBE"/>
    <w:rsid w:val="00523A9B"/>
    <w:rsid w:val="005269B5"/>
    <w:rsid w:val="00531503"/>
    <w:rsid w:val="00533C4E"/>
    <w:rsid w:val="00540F7C"/>
    <w:rsid w:val="00547282"/>
    <w:rsid w:val="00553B4E"/>
    <w:rsid w:val="00556ED7"/>
    <w:rsid w:val="00585F15"/>
    <w:rsid w:val="00586F0C"/>
    <w:rsid w:val="00593110"/>
    <w:rsid w:val="00597FEB"/>
    <w:rsid w:val="005A278E"/>
    <w:rsid w:val="005A325F"/>
    <w:rsid w:val="005A5A03"/>
    <w:rsid w:val="005B1037"/>
    <w:rsid w:val="005B377C"/>
    <w:rsid w:val="005C610B"/>
    <w:rsid w:val="005D4F83"/>
    <w:rsid w:val="005D5146"/>
    <w:rsid w:val="005E7888"/>
    <w:rsid w:val="005F0ABD"/>
    <w:rsid w:val="005F4A97"/>
    <w:rsid w:val="005F77BA"/>
    <w:rsid w:val="0060104B"/>
    <w:rsid w:val="0060382F"/>
    <w:rsid w:val="006047C6"/>
    <w:rsid w:val="00606994"/>
    <w:rsid w:val="006073F4"/>
    <w:rsid w:val="00607570"/>
    <w:rsid w:val="00633AD7"/>
    <w:rsid w:val="006350D2"/>
    <w:rsid w:val="006418D9"/>
    <w:rsid w:val="00641AB8"/>
    <w:rsid w:val="0065164D"/>
    <w:rsid w:val="006548F5"/>
    <w:rsid w:val="006613C2"/>
    <w:rsid w:val="0066420A"/>
    <w:rsid w:val="00666592"/>
    <w:rsid w:val="006707E2"/>
    <w:rsid w:val="006874A1"/>
    <w:rsid w:val="006A10E8"/>
    <w:rsid w:val="006A4382"/>
    <w:rsid w:val="006A5ACC"/>
    <w:rsid w:val="006C3209"/>
    <w:rsid w:val="006D0D3B"/>
    <w:rsid w:val="006D2891"/>
    <w:rsid w:val="006D4DBF"/>
    <w:rsid w:val="006D68B2"/>
    <w:rsid w:val="006D6FEC"/>
    <w:rsid w:val="006E0958"/>
    <w:rsid w:val="006F1E98"/>
    <w:rsid w:val="006F296F"/>
    <w:rsid w:val="007023BE"/>
    <w:rsid w:val="007116F2"/>
    <w:rsid w:val="00733D12"/>
    <w:rsid w:val="00776EBC"/>
    <w:rsid w:val="007801AD"/>
    <w:rsid w:val="00782B17"/>
    <w:rsid w:val="007908EB"/>
    <w:rsid w:val="007952FD"/>
    <w:rsid w:val="007A3FC1"/>
    <w:rsid w:val="007A6258"/>
    <w:rsid w:val="007C2824"/>
    <w:rsid w:val="007C79D3"/>
    <w:rsid w:val="007D0E07"/>
    <w:rsid w:val="007D77F8"/>
    <w:rsid w:val="007E1384"/>
    <w:rsid w:val="007E6DCF"/>
    <w:rsid w:val="007E6DF7"/>
    <w:rsid w:val="007F0C8F"/>
    <w:rsid w:val="007F1252"/>
    <w:rsid w:val="007F1990"/>
    <w:rsid w:val="007F6497"/>
    <w:rsid w:val="007F790E"/>
    <w:rsid w:val="00804406"/>
    <w:rsid w:val="008062DE"/>
    <w:rsid w:val="008078D6"/>
    <w:rsid w:val="00822A5D"/>
    <w:rsid w:val="008275AF"/>
    <w:rsid w:val="008303D6"/>
    <w:rsid w:val="00832A61"/>
    <w:rsid w:val="00834B2B"/>
    <w:rsid w:val="00840989"/>
    <w:rsid w:val="00845889"/>
    <w:rsid w:val="00850594"/>
    <w:rsid w:val="0085141E"/>
    <w:rsid w:val="00860C55"/>
    <w:rsid w:val="00864230"/>
    <w:rsid w:val="00867440"/>
    <w:rsid w:val="00874036"/>
    <w:rsid w:val="008748ED"/>
    <w:rsid w:val="008777EA"/>
    <w:rsid w:val="008A39ED"/>
    <w:rsid w:val="008A46C8"/>
    <w:rsid w:val="008A721A"/>
    <w:rsid w:val="008B55BA"/>
    <w:rsid w:val="008D1D31"/>
    <w:rsid w:val="008E5B2A"/>
    <w:rsid w:val="008E67F5"/>
    <w:rsid w:val="008F0397"/>
    <w:rsid w:val="008F7AA8"/>
    <w:rsid w:val="009056DD"/>
    <w:rsid w:val="0091581C"/>
    <w:rsid w:val="00927913"/>
    <w:rsid w:val="00930E83"/>
    <w:rsid w:val="00942FA3"/>
    <w:rsid w:val="00952E4D"/>
    <w:rsid w:val="00985528"/>
    <w:rsid w:val="00994274"/>
    <w:rsid w:val="009945AB"/>
    <w:rsid w:val="009A2376"/>
    <w:rsid w:val="009B05FC"/>
    <w:rsid w:val="009B1CD8"/>
    <w:rsid w:val="009B204B"/>
    <w:rsid w:val="009B2879"/>
    <w:rsid w:val="009B435F"/>
    <w:rsid w:val="009B5522"/>
    <w:rsid w:val="009B66D5"/>
    <w:rsid w:val="009C387E"/>
    <w:rsid w:val="009C5962"/>
    <w:rsid w:val="009C5E02"/>
    <w:rsid w:val="009C61AA"/>
    <w:rsid w:val="009D0F92"/>
    <w:rsid w:val="009E1556"/>
    <w:rsid w:val="009E1CBD"/>
    <w:rsid w:val="009E44F6"/>
    <w:rsid w:val="009E521D"/>
    <w:rsid w:val="009F3215"/>
    <w:rsid w:val="00A03709"/>
    <w:rsid w:val="00A05596"/>
    <w:rsid w:val="00A1223A"/>
    <w:rsid w:val="00A1699D"/>
    <w:rsid w:val="00A17317"/>
    <w:rsid w:val="00A1761E"/>
    <w:rsid w:val="00A37A71"/>
    <w:rsid w:val="00A67D78"/>
    <w:rsid w:val="00A868DF"/>
    <w:rsid w:val="00A964FB"/>
    <w:rsid w:val="00AA2310"/>
    <w:rsid w:val="00AA7556"/>
    <w:rsid w:val="00AC469B"/>
    <w:rsid w:val="00AD59F5"/>
    <w:rsid w:val="00AE0BCD"/>
    <w:rsid w:val="00AF016A"/>
    <w:rsid w:val="00AF225D"/>
    <w:rsid w:val="00AF4BBA"/>
    <w:rsid w:val="00B01AA4"/>
    <w:rsid w:val="00B028CF"/>
    <w:rsid w:val="00B03196"/>
    <w:rsid w:val="00B263EF"/>
    <w:rsid w:val="00B61965"/>
    <w:rsid w:val="00B62844"/>
    <w:rsid w:val="00B753A8"/>
    <w:rsid w:val="00B75488"/>
    <w:rsid w:val="00B754CD"/>
    <w:rsid w:val="00B77102"/>
    <w:rsid w:val="00B81330"/>
    <w:rsid w:val="00B84F9B"/>
    <w:rsid w:val="00B85877"/>
    <w:rsid w:val="00B97E60"/>
    <w:rsid w:val="00BA7DC0"/>
    <w:rsid w:val="00BB0651"/>
    <w:rsid w:val="00BB2699"/>
    <w:rsid w:val="00BB5214"/>
    <w:rsid w:val="00BD5685"/>
    <w:rsid w:val="00BE47FC"/>
    <w:rsid w:val="00BF345C"/>
    <w:rsid w:val="00BF6B3F"/>
    <w:rsid w:val="00C20F44"/>
    <w:rsid w:val="00C214F5"/>
    <w:rsid w:val="00C31F3B"/>
    <w:rsid w:val="00C33A8B"/>
    <w:rsid w:val="00C3433E"/>
    <w:rsid w:val="00C378D4"/>
    <w:rsid w:val="00C4180C"/>
    <w:rsid w:val="00C50FAC"/>
    <w:rsid w:val="00C54F74"/>
    <w:rsid w:val="00C63E5F"/>
    <w:rsid w:val="00C72CE9"/>
    <w:rsid w:val="00C7306B"/>
    <w:rsid w:val="00C740E3"/>
    <w:rsid w:val="00C77CF5"/>
    <w:rsid w:val="00C803B7"/>
    <w:rsid w:val="00C97DC8"/>
    <w:rsid w:val="00CA0B69"/>
    <w:rsid w:val="00CA72DD"/>
    <w:rsid w:val="00CB3F21"/>
    <w:rsid w:val="00CC297A"/>
    <w:rsid w:val="00CC61B2"/>
    <w:rsid w:val="00CF1309"/>
    <w:rsid w:val="00D00D44"/>
    <w:rsid w:val="00D12F17"/>
    <w:rsid w:val="00D139B8"/>
    <w:rsid w:val="00D21BE3"/>
    <w:rsid w:val="00D24BF2"/>
    <w:rsid w:val="00D40886"/>
    <w:rsid w:val="00D47AF5"/>
    <w:rsid w:val="00D52D90"/>
    <w:rsid w:val="00D53649"/>
    <w:rsid w:val="00D551AE"/>
    <w:rsid w:val="00D57AB2"/>
    <w:rsid w:val="00D60CED"/>
    <w:rsid w:val="00D66AF1"/>
    <w:rsid w:val="00D80871"/>
    <w:rsid w:val="00D94D2C"/>
    <w:rsid w:val="00DB224D"/>
    <w:rsid w:val="00DB7A85"/>
    <w:rsid w:val="00DC3CCF"/>
    <w:rsid w:val="00DD1EE9"/>
    <w:rsid w:val="00DE0DF7"/>
    <w:rsid w:val="00DE0F13"/>
    <w:rsid w:val="00DE3EF8"/>
    <w:rsid w:val="00DE5945"/>
    <w:rsid w:val="00DE6B25"/>
    <w:rsid w:val="00DE7FFA"/>
    <w:rsid w:val="00DF31E1"/>
    <w:rsid w:val="00DF3F5B"/>
    <w:rsid w:val="00E00D5E"/>
    <w:rsid w:val="00E111E0"/>
    <w:rsid w:val="00E12FFF"/>
    <w:rsid w:val="00E13CF6"/>
    <w:rsid w:val="00E235D5"/>
    <w:rsid w:val="00E24EDE"/>
    <w:rsid w:val="00E274EE"/>
    <w:rsid w:val="00E364F6"/>
    <w:rsid w:val="00E47DEE"/>
    <w:rsid w:val="00E61AE1"/>
    <w:rsid w:val="00E84675"/>
    <w:rsid w:val="00E8534D"/>
    <w:rsid w:val="00E90406"/>
    <w:rsid w:val="00E90993"/>
    <w:rsid w:val="00E92E6A"/>
    <w:rsid w:val="00EA214A"/>
    <w:rsid w:val="00EA3AAA"/>
    <w:rsid w:val="00EB0F86"/>
    <w:rsid w:val="00EB21CE"/>
    <w:rsid w:val="00EC1065"/>
    <w:rsid w:val="00ED0640"/>
    <w:rsid w:val="00ED4B4C"/>
    <w:rsid w:val="00EF7E48"/>
    <w:rsid w:val="00F13C3C"/>
    <w:rsid w:val="00F20303"/>
    <w:rsid w:val="00F379F7"/>
    <w:rsid w:val="00F40AA2"/>
    <w:rsid w:val="00F42439"/>
    <w:rsid w:val="00F5779B"/>
    <w:rsid w:val="00F75133"/>
    <w:rsid w:val="00F839F9"/>
    <w:rsid w:val="00F93715"/>
    <w:rsid w:val="00F9673E"/>
    <w:rsid w:val="00FC148D"/>
    <w:rsid w:val="00FD1A17"/>
    <w:rsid w:val="00FD49B5"/>
    <w:rsid w:val="00FD5514"/>
    <w:rsid w:val="00FD69F6"/>
    <w:rsid w:val="00FE084B"/>
    <w:rsid w:val="00FE1A7B"/>
    <w:rsid w:val="00FE544E"/>
    <w:rsid w:val="00FE5D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o:shapelayout v:ext="edit">
      <o:idmap v:ext="edit" data="1"/>
    </o:shapelayout>
  </w:shapeDefaults>
  <w:decimalSymbol w:val=","/>
  <w:listSeparator w:val=";"/>
  <w14:docId w14:val="7EAD7BEF"/>
  <w15:chartTrackingRefBased/>
  <w15:docId w15:val="{EABD48BC-4947-40B3-93FD-241601367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Pr>
      <w:rFonts w:ascii="Arial" w:hAnsi="Arial" w:cs="Arial"/>
      <w:sz w:val="24"/>
      <w:szCs w:val="24"/>
    </w:rPr>
  </w:style>
  <w:style w:type="paragraph" w:styleId="Nadpis1">
    <w:name w:val="heading 1"/>
    <w:basedOn w:val="Normln"/>
    <w:next w:val="Normln"/>
    <w:qFormat/>
    <w:pPr>
      <w:keepNext/>
      <w:jc w:val="center"/>
      <w:outlineLvl w:val="0"/>
    </w:pPr>
    <w:rPr>
      <w:b/>
      <w:bCs/>
    </w:rPr>
  </w:style>
  <w:style w:type="paragraph" w:styleId="Nadpis2">
    <w:name w:val="heading 2"/>
    <w:basedOn w:val="Normln"/>
    <w:next w:val="Normln"/>
    <w:qFormat/>
    <w:pPr>
      <w:keepNext/>
      <w:outlineLvl w:val="1"/>
    </w:pPr>
    <w:rPr>
      <w:b/>
      <w:bCs/>
      <w:cap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style>
  <w:style w:type="character" w:styleId="Hypertextovodkaz">
    <w:name w:val="Hyperlink"/>
    <w:uiPriority w:val="99"/>
    <w:rPr>
      <w:color w:val="0000FF"/>
      <w:u w:val="single"/>
    </w:rPr>
  </w:style>
  <w:style w:type="paragraph" w:styleId="Rozloendokumentu">
    <w:name w:val="Document Map"/>
    <w:basedOn w:val="Normln"/>
    <w:semiHidden/>
    <w:rsid w:val="00E235D5"/>
    <w:pPr>
      <w:shd w:val="clear" w:color="auto" w:fill="000080"/>
    </w:pPr>
    <w:rPr>
      <w:rFonts w:ascii="Tahoma" w:hAnsi="Tahoma" w:cs="Tahoma"/>
      <w:sz w:val="20"/>
      <w:szCs w:val="20"/>
    </w:rPr>
  </w:style>
  <w:style w:type="paragraph" w:styleId="Textbubliny">
    <w:name w:val="Balloon Text"/>
    <w:basedOn w:val="Normln"/>
    <w:semiHidden/>
    <w:rsid w:val="00E235D5"/>
    <w:rPr>
      <w:rFonts w:ascii="Tahoma" w:hAnsi="Tahoma" w:cs="Tahoma"/>
      <w:sz w:val="16"/>
      <w:szCs w:val="16"/>
    </w:rPr>
  </w:style>
  <w:style w:type="character" w:styleId="Odkaznakoment">
    <w:name w:val="annotation reference"/>
    <w:semiHidden/>
    <w:rsid w:val="00B028CF"/>
    <w:rPr>
      <w:sz w:val="16"/>
      <w:szCs w:val="16"/>
    </w:rPr>
  </w:style>
  <w:style w:type="paragraph" w:styleId="Textkomente">
    <w:name w:val="annotation text"/>
    <w:basedOn w:val="Normln"/>
    <w:semiHidden/>
    <w:rsid w:val="00B028CF"/>
    <w:rPr>
      <w:sz w:val="20"/>
      <w:szCs w:val="20"/>
    </w:rPr>
  </w:style>
  <w:style w:type="paragraph" w:styleId="Pedmtkomente">
    <w:name w:val="annotation subject"/>
    <w:basedOn w:val="Textkomente"/>
    <w:next w:val="Textkomente"/>
    <w:semiHidden/>
    <w:rsid w:val="00B028CF"/>
    <w:rPr>
      <w:b/>
      <w:bCs/>
    </w:rPr>
  </w:style>
  <w:style w:type="table" w:styleId="Mkatabulky">
    <w:name w:val="Table Grid"/>
    <w:basedOn w:val="Normlntabulka"/>
    <w:rsid w:val="005F77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pat">
    <w:name w:val="footer"/>
    <w:basedOn w:val="Normln"/>
    <w:rsid w:val="00942FA3"/>
    <w:pPr>
      <w:tabs>
        <w:tab w:val="center" w:pos="4536"/>
        <w:tab w:val="right" w:pos="9072"/>
      </w:tabs>
    </w:pPr>
  </w:style>
  <w:style w:type="character" w:styleId="slostrnky">
    <w:name w:val="page number"/>
    <w:basedOn w:val="Standardnpsmoodstavce"/>
    <w:rsid w:val="00942FA3"/>
  </w:style>
  <w:style w:type="paragraph" w:styleId="Zhlav">
    <w:name w:val="header"/>
    <w:basedOn w:val="Normln"/>
    <w:rsid w:val="00942FA3"/>
    <w:pPr>
      <w:tabs>
        <w:tab w:val="center" w:pos="4536"/>
        <w:tab w:val="right" w:pos="9072"/>
      </w:tabs>
    </w:pPr>
  </w:style>
  <w:style w:type="paragraph" w:styleId="Podnadpis">
    <w:name w:val="Subtitle"/>
    <w:basedOn w:val="Normln"/>
    <w:next w:val="Normln"/>
    <w:link w:val="PodnadpisChar"/>
    <w:uiPriority w:val="11"/>
    <w:qFormat/>
    <w:rsid w:val="00E92E6A"/>
    <w:pPr>
      <w:spacing w:after="60"/>
      <w:jc w:val="center"/>
      <w:outlineLvl w:val="1"/>
    </w:pPr>
    <w:rPr>
      <w:rFonts w:ascii="Cambria" w:hAnsi="Cambria" w:cs="Times New Roman"/>
    </w:rPr>
  </w:style>
  <w:style w:type="character" w:customStyle="1" w:styleId="PodnadpisChar">
    <w:name w:val="Podnadpis Char"/>
    <w:link w:val="Podnadpis"/>
    <w:uiPriority w:val="11"/>
    <w:rsid w:val="00E92E6A"/>
    <w:rPr>
      <w:rFonts w:ascii="Cambria" w:hAnsi="Cambria"/>
      <w:sz w:val="24"/>
      <w:szCs w:val="24"/>
    </w:rPr>
  </w:style>
  <w:style w:type="paragraph" w:styleId="Bezmezer">
    <w:name w:val="No Spacing"/>
    <w:uiPriority w:val="1"/>
    <w:qFormat/>
    <w:rsid w:val="00874036"/>
    <w:rPr>
      <w:rFonts w:ascii="Calibri" w:eastAsia="Calibri" w:hAnsi="Calibri"/>
      <w:sz w:val="22"/>
      <w:szCs w:val="22"/>
      <w:lang w:eastAsia="en-US"/>
    </w:rPr>
  </w:style>
  <w:style w:type="paragraph" w:customStyle="1" w:styleId="Popisky">
    <w:name w:val="Popisky"/>
    <w:rsid w:val="00C740E3"/>
    <w:rPr>
      <w:rFonts w:ascii="Arial" w:hAnsi="Arial"/>
    </w:rPr>
  </w:style>
  <w:style w:type="character" w:styleId="Siln">
    <w:name w:val="Strong"/>
    <w:uiPriority w:val="22"/>
    <w:qFormat/>
    <w:rsid w:val="00AF225D"/>
    <w:rPr>
      <w:b/>
      <w:bCs/>
    </w:rPr>
  </w:style>
  <w:style w:type="paragraph" w:styleId="Textpoznpodarou">
    <w:name w:val="footnote text"/>
    <w:aliases w:val="Schriftart: 9 pt,Schriftart: 10 pt,Schriftart: 8 pt,Text poznámky pod čiarou 007,Footnote,Fußnotentextf,Geneva 9,Font: Geneva 9,Boston 10,f,pozn. pod čarou,Char,Text pozn. pod čarou1,Char Char Char1,Footnote Text Char1,o,Char Char1"/>
    <w:basedOn w:val="Normln"/>
    <w:link w:val="TextpoznpodarouChar"/>
    <w:uiPriority w:val="99"/>
    <w:unhideWhenUsed/>
    <w:qFormat/>
    <w:rsid w:val="00FD69F6"/>
    <w:rPr>
      <w:rFonts w:ascii="Calibri" w:eastAsiaTheme="minorHAnsi" w:hAnsi="Calibri" w:cs="Times New Roman"/>
      <w:color w:val="000000"/>
      <w:sz w:val="20"/>
      <w:szCs w:val="20"/>
      <w:lang w:eastAsia="en-US"/>
    </w:r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basedOn w:val="Standardnpsmoodstavce"/>
    <w:link w:val="Textpoznpodarou"/>
    <w:uiPriority w:val="99"/>
    <w:qFormat/>
    <w:rsid w:val="00FD69F6"/>
    <w:rPr>
      <w:rFonts w:ascii="Calibri" w:eastAsiaTheme="minorHAnsi" w:hAnsi="Calibri"/>
      <w:color w:val="000000"/>
      <w:lang w:eastAsia="en-US"/>
    </w:rPr>
  </w:style>
  <w:style w:type="character" w:styleId="Znakapoznpodarou">
    <w:name w:val="footnote reference"/>
    <w:aliases w:val="BVI fnr,Footnote symbol,Footnote Reference Number,PGI Fußnote Ziffer,Footnote Reference Superscript,Appel note de bas de p,Appel note de bas de page,Légende,Char Car Car Car Car,Voetnootverwijzing,Légende;Char Car Car Car Car,fr"/>
    <w:basedOn w:val="Standardnpsmoodstavce"/>
    <w:link w:val="stylishCar"/>
    <w:uiPriority w:val="99"/>
    <w:unhideWhenUsed/>
    <w:qFormat/>
    <w:rsid w:val="00FD69F6"/>
    <w:rPr>
      <w:vertAlign w:val="superscript"/>
    </w:rPr>
  </w:style>
  <w:style w:type="paragraph" w:styleId="Odstavecseseznamem">
    <w:name w:val="List Paragraph"/>
    <w:aliases w:val="Nad,Odstavec cíl se seznamem,Odstavec se seznamem5,Odstavec_muj,_Odstavec se seznamem,Seznam - odrážky,Conclusion de partie,Fiche List Paragraph,List Paragraph (Czech Tourism),Název grafu,nad 1,Odstavec se seznamem2,List Paragraph,L"/>
    <w:basedOn w:val="Normln"/>
    <w:link w:val="OdstavecseseznamemChar"/>
    <w:uiPriority w:val="34"/>
    <w:qFormat/>
    <w:rsid w:val="00782B17"/>
    <w:pPr>
      <w:ind w:left="720"/>
      <w:contextualSpacing/>
    </w:pPr>
    <w:rPr>
      <w:rFonts w:ascii="Times New Roman" w:hAnsi="Times New Roman" w:cs="Times New Roman"/>
    </w:rPr>
  </w:style>
  <w:style w:type="character" w:customStyle="1" w:styleId="OdstavecseseznamemChar">
    <w:name w:val="Odstavec se seznamem Char"/>
    <w:aliases w:val="Nad Char,Odstavec cíl se seznamem Char,Odstavec se seznamem5 Char,Odstavec_muj Char,_Odstavec se seznamem Char,Seznam - odrážky Char,Conclusion de partie Char,Fiche List Paragraph Char,List Paragraph (Czech Tourism) Char,L Char"/>
    <w:link w:val="Odstavecseseznamem"/>
    <w:uiPriority w:val="34"/>
    <w:qFormat/>
    <w:locked/>
    <w:rsid w:val="006D2891"/>
    <w:rPr>
      <w:sz w:val="24"/>
      <w:szCs w:val="24"/>
    </w:rPr>
  </w:style>
  <w:style w:type="paragraph" w:styleId="Normlnweb">
    <w:name w:val="Normal (Web)"/>
    <w:basedOn w:val="Normln"/>
    <w:uiPriority w:val="99"/>
    <w:unhideWhenUsed/>
    <w:rsid w:val="004B43CE"/>
    <w:pPr>
      <w:spacing w:before="100" w:beforeAutospacing="1" w:after="100" w:afterAutospacing="1"/>
    </w:pPr>
    <w:rPr>
      <w:rFonts w:ascii="Times New Roman" w:eastAsiaTheme="minorHAnsi" w:hAnsi="Times New Roman" w:cs="Times New Roman"/>
      <w:color w:val="000000"/>
    </w:rPr>
  </w:style>
  <w:style w:type="paragraph" w:customStyle="1" w:styleId="stylishCar">
    <w:name w:val="stylish Car"/>
    <w:aliases w:val="Footnote Refernece Car,BVI fnr Car,Fußnotenzeichen_Raxen Car,callout Car,Footnote Reference Number Car,Footnote Reference Superscript Car,Footnote symbol Car,Footnote reference number Car,Footnotemark Car,FR Car,FR1 C"/>
    <w:basedOn w:val="Normln"/>
    <w:link w:val="Znakapoznpodarou"/>
    <w:uiPriority w:val="99"/>
    <w:rsid w:val="00C3433E"/>
    <w:pPr>
      <w:spacing w:after="160" w:line="240" w:lineRule="exact"/>
      <w:jc w:val="both"/>
    </w:pPr>
    <w:rPr>
      <w:rFonts w:ascii="Times New Roman" w:hAnsi="Times New Roman" w:cs="Times New Roman"/>
      <w:sz w:val="20"/>
      <w:szCs w:val="20"/>
      <w:vertAlign w:val="superscript"/>
    </w:rPr>
  </w:style>
  <w:style w:type="paragraph" w:customStyle="1" w:styleId="FootnoteReference1">
    <w:name w:val="Footnote Reference1"/>
    <w:basedOn w:val="Normln"/>
    <w:uiPriority w:val="99"/>
    <w:rsid w:val="00733D12"/>
    <w:pPr>
      <w:spacing w:after="160" w:line="240" w:lineRule="exact"/>
    </w:pPr>
    <w:rPr>
      <w:rFonts w:asciiTheme="minorHAnsi" w:eastAsiaTheme="minorHAnsi" w:hAnsiTheme="minorHAnsi" w:cstheme="minorBidi"/>
      <w:b/>
      <w:sz w:val="22"/>
      <w:szCs w:val="22"/>
      <w:vertAlign w:val="superscript"/>
      <w:lang w:val="en-US" w:eastAsia="en-US"/>
    </w:rPr>
  </w:style>
  <w:style w:type="paragraph" w:customStyle="1" w:styleId="Point1">
    <w:name w:val="Point 1"/>
    <w:basedOn w:val="Normln"/>
    <w:rsid w:val="00733D12"/>
    <w:pPr>
      <w:spacing w:before="120" w:after="120" w:line="360" w:lineRule="auto"/>
      <w:ind w:left="1417" w:hanging="567"/>
    </w:pPr>
    <w:rPr>
      <w:rFonts w:ascii="Times New Roman" w:eastAsiaTheme="minorHAnsi" w:hAnsi="Times New Roman" w:cs="Times New Roman"/>
      <w:szCs w:val="22"/>
      <w:lang w:eastAsia="en-US"/>
    </w:rPr>
  </w:style>
  <w:style w:type="paragraph" w:customStyle="1" w:styleId="Point2">
    <w:name w:val="Point 2"/>
    <w:basedOn w:val="Normln"/>
    <w:rsid w:val="00733D12"/>
    <w:pPr>
      <w:spacing w:before="120" w:after="120" w:line="360" w:lineRule="auto"/>
      <w:ind w:left="1984" w:hanging="567"/>
    </w:pPr>
    <w:rPr>
      <w:rFonts w:ascii="Times New Roman" w:eastAsiaTheme="minorHAnsi" w:hAnsi="Times New Roman" w:cs="Times New Roman"/>
      <w:szCs w:val="22"/>
      <w:lang w:eastAsia="en-US"/>
    </w:rPr>
  </w:style>
  <w:style w:type="paragraph" w:customStyle="1" w:styleId="Tiret3">
    <w:name w:val="Tiret 3"/>
    <w:basedOn w:val="Normln"/>
    <w:rsid w:val="00733D12"/>
    <w:pPr>
      <w:numPr>
        <w:numId w:val="26"/>
      </w:numPr>
      <w:spacing w:before="120" w:after="120" w:line="360" w:lineRule="auto"/>
    </w:pPr>
    <w:rPr>
      <w:rFonts w:ascii="Times New Roman" w:eastAsiaTheme="minorHAnsi" w:hAnsi="Times New Roman" w:cs="Times New Roman"/>
      <w:szCs w:val="22"/>
      <w:lang w:eastAsia="en-US"/>
    </w:rPr>
  </w:style>
  <w:style w:type="character" w:customStyle="1" w:styleId="normaltextrun">
    <w:name w:val="normaltextrun"/>
    <w:basedOn w:val="Standardnpsmoodstavce"/>
    <w:rsid w:val="00F75133"/>
  </w:style>
  <w:style w:type="character" w:customStyle="1" w:styleId="eop">
    <w:name w:val="eop"/>
    <w:basedOn w:val="Standardnpsmoodstavce"/>
    <w:rsid w:val="00F751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99038">
      <w:bodyDiv w:val="1"/>
      <w:marLeft w:val="0"/>
      <w:marRight w:val="0"/>
      <w:marTop w:val="0"/>
      <w:marBottom w:val="0"/>
      <w:divBdr>
        <w:top w:val="none" w:sz="0" w:space="0" w:color="auto"/>
        <w:left w:val="none" w:sz="0" w:space="0" w:color="auto"/>
        <w:bottom w:val="none" w:sz="0" w:space="0" w:color="auto"/>
        <w:right w:val="none" w:sz="0" w:space="0" w:color="auto"/>
      </w:divBdr>
    </w:div>
    <w:div w:id="32273130">
      <w:bodyDiv w:val="1"/>
      <w:marLeft w:val="0"/>
      <w:marRight w:val="0"/>
      <w:marTop w:val="0"/>
      <w:marBottom w:val="0"/>
      <w:divBdr>
        <w:top w:val="none" w:sz="0" w:space="0" w:color="auto"/>
        <w:left w:val="none" w:sz="0" w:space="0" w:color="auto"/>
        <w:bottom w:val="none" w:sz="0" w:space="0" w:color="auto"/>
        <w:right w:val="none" w:sz="0" w:space="0" w:color="auto"/>
      </w:divBdr>
    </w:div>
    <w:div w:id="181631318">
      <w:bodyDiv w:val="1"/>
      <w:marLeft w:val="0"/>
      <w:marRight w:val="0"/>
      <w:marTop w:val="0"/>
      <w:marBottom w:val="0"/>
      <w:divBdr>
        <w:top w:val="none" w:sz="0" w:space="0" w:color="auto"/>
        <w:left w:val="none" w:sz="0" w:space="0" w:color="auto"/>
        <w:bottom w:val="none" w:sz="0" w:space="0" w:color="auto"/>
        <w:right w:val="none" w:sz="0" w:space="0" w:color="auto"/>
      </w:divBdr>
    </w:div>
    <w:div w:id="195696984">
      <w:bodyDiv w:val="1"/>
      <w:marLeft w:val="0"/>
      <w:marRight w:val="0"/>
      <w:marTop w:val="0"/>
      <w:marBottom w:val="0"/>
      <w:divBdr>
        <w:top w:val="none" w:sz="0" w:space="0" w:color="auto"/>
        <w:left w:val="none" w:sz="0" w:space="0" w:color="auto"/>
        <w:bottom w:val="none" w:sz="0" w:space="0" w:color="auto"/>
        <w:right w:val="none" w:sz="0" w:space="0" w:color="auto"/>
      </w:divBdr>
    </w:div>
    <w:div w:id="252713782">
      <w:bodyDiv w:val="1"/>
      <w:marLeft w:val="0"/>
      <w:marRight w:val="0"/>
      <w:marTop w:val="0"/>
      <w:marBottom w:val="0"/>
      <w:divBdr>
        <w:top w:val="none" w:sz="0" w:space="0" w:color="auto"/>
        <w:left w:val="none" w:sz="0" w:space="0" w:color="auto"/>
        <w:bottom w:val="none" w:sz="0" w:space="0" w:color="auto"/>
        <w:right w:val="none" w:sz="0" w:space="0" w:color="auto"/>
      </w:divBdr>
    </w:div>
    <w:div w:id="428308985">
      <w:bodyDiv w:val="1"/>
      <w:marLeft w:val="0"/>
      <w:marRight w:val="0"/>
      <w:marTop w:val="0"/>
      <w:marBottom w:val="0"/>
      <w:divBdr>
        <w:top w:val="none" w:sz="0" w:space="0" w:color="auto"/>
        <w:left w:val="none" w:sz="0" w:space="0" w:color="auto"/>
        <w:bottom w:val="none" w:sz="0" w:space="0" w:color="auto"/>
        <w:right w:val="none" w:sz="0" w:space="0" w:color="auto"/>
      </w:divBdr>
    </w:div>
    <w:div w:id="438069735">
      <w:bodyDiv w:val="1"/>
      <w:marLeft w:val="0"/>
      <w:marRight w:val="0"/>
      <w:marTop w:val="0"/>
      <w:marBottom w:val="0"/>
      <w:divBdr>
        <w:top w:val="none" w:sz="0" w:space="0" w:color="auto"/>
        <w:left w:val="none" w:sz="0" w:space="0" w:color="auto"/>
        <w:bottom w:val="none" w:sz="0" w:space="0" w:color="auto"/>
        <w:right w:val="none" w:sz="0" w:space="0" w:color="auto"/>
      </w:divBdr>
    </w:div>
    <w:div w:id="478498281">
      <w:bodyDiv w:val="1"/>
      <w:marLeft w:val="0"/>
      <w:marRight w:val="0"/>
      <w:marTop w:val="0"/>
      <w:marBottom w:val="0"/>
      <w:divBdr>
        <w:top w:val="none" w:sz="0" w:space="0" w:color="auto"/>
        <w:left w:val="none" w:sz="0" w:space="0" w:color="auto"/>
        <w:bottom w:val="none" w:sz="0" w:space="0" w:color="auto"/>
        <w:right w:val="none" w:sz="0" w:space="0" w:color="auto"/>
      </w:divBdr>
    </w:div>
    <w:div w:id="704721262">
      <w:bodyDiv w:val="1"/>
      <w:marLeft w:val="0"/>
      <w:marRight w:val="0"/>
      <w:marTop w:val="0"/>
      <w:marBottom w:val="0"/>
      <w:divBdr>
        <w:top w:val="none" w:sz="0" w:space="0" w:color="auto"/>
        <w:left w:val="none" w:sz="0" w:space="0" w:color="auto"/>
        <w:bottom w:val="none" w:sz="0" w:space="0" w:color="auto"/>
        <w:right w:val="none" w:sz="0" w:space="0" w:color="auto"/>
      </w:divBdr>
    </w:div>
    <w:div w:id="910046065">
      <w:bodyDiv w:val="1"/>
      <w:marLeft w:val="0"/>
      <w:marRight w:val="0"/>
      <w:marTop w:val="0"/>
      <w:marBottom w:val="0"/>
      <w:divBdr>
        <w:top w:val="none" w:sz="0" w:space="0" w:color="auto"/>
        <w:left w:val="none" w:sz="0" w:space="0" w:color="auto"/>
        <w:bottom w:val="none" w:sz="0" w:space="0" w:color="auto"/>
        <w:right w:val="none" w:sz="0" w:space="0" w:color="auto"/>
      </w:divBdr>
    </w:div>
    <w:div w:id="1028725817">
      <w:bodyDiv w:val="1"/>
      <w:marLeft w:val="0"/>
      <w:marRight w:val="0"/>
      <w:marTop w:val="0"/>
      <w:marBottom w:val="0"/>
      <w:divBdr>
        <w:top w:val="none" w:sz="0" w:space="0" w:color="auto"/>
        <w:left w:val="none" w:sz="0" w:space="0" w:color="auto"/>
        <w:bottom w:val="none" w:sz="0" w:space="0" w:color="auto"/>
        <w:right w:val="none" w:sz="0" w:space="0" w:color="auto"/>
      </w:divBdr>
    </w:div>
    <w:div w:id="1280724457">
      <w:bodyDiv w:val="1"/>
      <w:marLeft w:val="0"/>
      <w:marRight w:val="0"/>
      <w:marTop w:val="0"/>
      <w:marBottom w:val="0"/>
      <w:divBdr>
        <w:top w:val="none" w:sz="0" w:space="0" w:color="auto"/>
        <w:left w:val="none" w:sz="0" w:space="0" w:color="auto"/>
        <w:bottom w:val="none" w:sz="0" w:space="0" w:color="auto"/>
        <w:right w:val="none" w:sz="0" w:space="0" w:color="auto"/>
      </w:divBdr>
    </w:div>
    <w:div w:id="1433625250">
      <w:bodyDiv w:val="1"/>
      <w:marLeft w:val="0"/>
      <w:marRight w:val="0"/>
      <w:marTop w:val="0"/>
      <w:marBottom w:val="0"/>
      <w:divBdr>
        <w:top w:val="none" w:sz="0" w:space="0" w:color="auto"/>
        <w:left w:val="none" w:sz="0" w:space="0" w:color="auto"/>
        <w:bottom w:val="none" w:sz="0" w:space="0" w:color="auto"/>
        <w:right w:val="none" w:sz="0" w:space="0" w:color="auto"/>
      </w:divBdr>
    </w:div>
    <w:div w:id="1724058188">
      <w:bodyDiv w:val="1"/>
      <w:marLeft w:val="0"/>
      <w:marRight w:val="0"/>
      <w:marTop w:val="0"/>
      <w:marBottom w:val="0"/>
      <w:divBdr>
        <w:top w:val="none" w:sz="0" w:space="0" w:color="auto"/>
        <w:left w:val="none" w:sz="0" w:space="0" w:color="auto"/>
        <w:bottom w:val="none" w:sz="0" w:space="0" w:color="auto"/>
        <w:right w:val="none" w:sz="0" w:space="0" w:color="auto"/>
      </w:divBdr>
    </w:div>
    <w:div w:id="2144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mpo.cz/cz/podnikani/dotace-a-podpora-podnikani/oppik-2014-2020/evaluace-a-analyzy/evaluace-a-jine-analyzy--15743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t:\Sablony\02%20Parlament%20a%20vl&#225;da\e-KLEP\P-16%20Vypo&#345;&#225;d&#225;n&#237;%20p&#345;ipom&#237;ne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60CDF2F6582450D8383B22AE52B03D8"/>
        <w:category>
          <w:name w:val="Obecné"/>
          <w:gallery w:val="placeholder"/>
        </w:category>
        <w:types>
          <w:type w:val="bbPlcHdr"/>
        </w:types>
        <w:behaviors>
          <w:behavior w:val="content"/>
        </w:behaviors>
        <w:guid w:val="{6F74650C-70F0-415B-BA14-67AD1D1D090E}"/>
      </w:docPartPr>
      <w:docPartBody>
        <w:p w:rsidR="005B4571" w:rsidRDefault="005B4571">
          <w:pPr>
            <w:pStyle w:val="460CDF2F6582450D8383B22AE52B03D8"/>
          </w:pPr>
          <w:r w:rsidRPr="00136958">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571"/>
    <w:rsid w:val="005B4571"/>
    <w:rsid w:val="007F1D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60CDF2F6582450D8383B22AE52B03D8">
    <w:name w:val="460CDF2F6582450D8383B22AE52B03D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P-16 Vypořádání připomínek.dotm</Template>
  <TotalTime>174</TotalTime>
  <Pages>13</Pages>
  <Words>4019</Words>
  <Characters>23389</Characters>
  <Application>Microsoft Office Word</Application>
  <DocSecurity>0</DocSecurity>
  <Lines>194</Lines>
  <Paragraphs>54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ÚŘAD VLÁDY ČR</vt:lpstr>
      <vt:lpstr>ÚŘAD VLÁDY ČR</vt:lpstr>
    </vt:vector>
  </TitlesOfParts>
  <Company>UVIS</Company>
  <LinksUpToDate>false</LinksUpToDate>
  <CharactersWithSpaces>27354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ÚŘAD VLÁDY ČR</dc:title>
  <dc:subject/>
  <dc:creator>Svobodová Alena</dc:creator>
  <cp:keywords/>
  <cp:lastModifiedBy>Juráš Pavel</cp:lastModifiedBy>
  <cp:revision>25</cp:revision>
  <cp:lastPrinted>2004-04-02T05:53:00Z</cp:lastPrinted>
  <dcterms:created xsi:type="dcterms:W3CDTF">2021-05-26T11:34:00Z</dcterms:created>
  <dcterms:modified xsi:type="dcterms:W3CDTF">2021-06-04T14:04:00Z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